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C268F" w14:textId="01C74379" w:rsidR="00CC1CBB" w:rsidRPr="000C0C13" w:rsidRDefault="000C0C13" w:rsidP="00FF662D">
      <w:pPr>
        <w:pStyle w:val="NoSpacing"/>
        <w:spacing w:before="600" w:after="360"/>
        <w:jc w:val="center"/>
        <w:rPr>
          <w:rFonts w:ascii="Times New Roman" w:hAnsi="Times New Roman" w:cs="Times New Roman"/>
          <w:b/>
          <w:sz w:val="28"/>
          <w:szCs w:val="24"/>
          <w:lang w:val="id-ID"/>
        </w:rPr>
      </w:pPr>
      <w:r>
        <w:rPr>
          <w:rFonts w:ascii="Times New Roman" w:hAnsi="Times New Roman" w:cs="Times New Roman"/>
          <w:b/>
          <w:sz w:val="28"/>
          <w:szCs w:val="24"/>
          <w:lang w:val="id-ID"/>
        </w:rPr>
        <w:t>FAKTOR-FAKTOR PENENTU DALAM PENGAMBILAN KEBIJAKAN PEMBAYARAN DIVIDEN PADA BANK KONVENSIONAL YANG TERDAFTAR DI BURSA EFEK INDONESIA</w:t>
      </w:r>
    </w:p>
    <w:p w14:paraId="7CE03076" w14:textId="17E14A5B" w:rsidR="00CC1CBB" w:rsidRDefault="008F0C26" w:rsidP="00CC1CBB">
      <w:pPr>
        <w:pStyle w:val="NoSpacing"/>
        <w:jc w:val="center"/>
        <w:rPr>
          <w:rFonts w:ascii="Times New Roman" w:hAnsi="Times New Roman" w:cs="Times New Roman"/>
          <w:b/>
          <w:sz w:val="24"/>
          <w:szCs w:val="24"/>
        </w:rPr>
      </w:pPr>
      <w:r w:rsidRPr="008F0C26">
        <w:rPr>
          <w:rFonts w:ascii="Times New Roman" w:hAnsi="Times New Roman" w:cs="Times New Roman"/>
          <w:b/>
          <w:sz w:val="24"/>
          <w:szCs w:val="24"/>
          <w:vertAlign w:val="superscript"/>
        </w:rPr>
        <w:t>1</w:t>
      </w:r>
      <w:r w:rsidR="000C0C13">
        <w:rPr>
          <w:rFonts w:ascii="Times New Roman" w:hAnsi="Times New Roman" w:cs="Times New Roman"/>
          <w:b/>
          <w:sz w:val="24"/>
          <w:szCs w:val="24"/>
          <w:lang w:val="id-ID"/>
        </w:rPr>
        <w:t>Dirhamsyah</w:t>
      </w:r>
      <w:r>
        <w:rPr>
          <w:rFonts w:ascii="Times New Roman" w:hAnsi="Times New Roman" w:cs="Times New Roman"/>
          <w:b/>
          <w:sz w:val="24"/>
          <w:szCs w:val="24"/>
        </w:rPr>
        <w:t xml:space="preserve">, </w:t>
      </w:r>
      <w:r w:rsidRPr="008F0C26">
        <w:rPr>
          <w:rFonts w:ascii="Times New Roman" w:hAnsi="Times New Roman" w:cs="Times New Roman"/>
          <w:b/>
          <w:sz w:val="24"/>
          <w:szCs w:val="24"/>
          <w:vertAlign w:val="superscript"/>
        </w:rPr>
        <w:t>2</w:t>
      </w:r>
      <w:r w:rsidR="000C0C13">
        <w:rPr>
          <w:rFonts w:ascii="Times New Roman" w:hAnsi="Times New Roman" w:cs="Times New Roman"/>
          <w:b/>
          <w:sz w:val="24"/>
          <w:szCs w:val="24"/>
          <w:lang w:val="id-ID"/>
        </w:rPr>
        <w:t xml:space="preserve">Lulu Qisthina Putri, </w:t>
      </w:r>
      <w:r w:rsidR="000C0C13">
        <w:rPr>
          <w:rFonts w:ascii="Times New Roman" w:hAnsi="Times New Roman" w:cs="Times New Roman"/>
          <w:b/>
          <w:sz w:val="24"/>
          <w:szCs w:val="24"/>
          <w:vertAlign w:val="superscript"/>
        </w:rPr>
        <w:t>3</w:t>
      </w:r>
      <w:r w:rsidR="000C0C13">
        <w:rPr>
          <w:rFonts w:ascii="Times New Roman" w:hAnsi="Times New Roman" w:cs="Times New Roman"/>
          <w:b/>
          <w:sz w:val="24"/>
          <w:szCs w:val="24"/>
          <w:lang w:val="id-ID"/>
        </w:rPr>
        <w:t>Farah Margaretha Leon</w:t>
      </w:r>
    </w:p>
    <w:p w14:paraId="3FB00A17" w14:textId="484409B6" w:rsidR="00CC1CBB" w:rsidRPr="000C0C13" w:rsidRDefault="00FF662D" w:rsidP="00CC1CBB">
      <w:pPr>
        <w:pStyle w:val="NoSpacing"/>
        <w:jc w:val="center"/>
        <w:rPr>
          <w:rFonts w:ascii="Times New Roman" w:hAnsi="Times New Roman" w:cs="Times New Roman"/>
          <w:szCs w:val="24"/>
          <w:lang w:val="id-ID"/>
        </w:rPr>
      </w:pPr>
      <w:r>
        <w:rPr>
          <w:rFonts w:ascii="Times New Roman" w:hAnsi="Times New Roman" w:cs="Times New Roman"/>
          <w:szCs w:val="24"/>
        </w:rPr>
        <w:t>Prodi</w:t>
      </w:r>
      <w:r w:rsidR="00CC1CBB" w:rsidRPr="00946698">
        <w:rPr>
          <w:rFonts w:ascii="Times New Roman" w:hAnsi="Times New Roman" w:cs="Times New Roman"/>
          <w:szCs w:val="24"/>
        </w:rPr>
        <w:t xml:space="preserve"> </w:t>
      </w:r>
      <w:r w:rsidR="000C0C13">
        <w:rPr>
          <w:rFonts w:ascii="Times New Roman" w:hAnsi="Times New Roman" w:cs="Times New Roman"/>
          <w:szCs w:val="24"/>
          <w:lang w:val="id-ID"/>
        </w:rPr>
        <w:t>Manajemen, Universitas Trisakti</w:t>
      </w:r>
    </w:p>
    <w:p w14:paraId="5F7FEB7F" w14:textId="7DEDB9BC" w:rsidR="00CC1CBB" w:rsidRPr="00946698" w:rsidRDefault="00FF662D" w:rsidP="00946698">
      <w:pPr>
        <w:pStyle w:val="NoSpacing"/>
        <w:spacing w:after="480"/>
        <w:jc w:val="center"/>
        <w:rPr>
          <w:rFonts w:ascii="Times New Roman" w:hAnsi="Times New Roman" w:cs="Times New Roman"/>
          <w:i/>
          <w:szCs w:val="24"/>
        </w:rPr>
      </w:pPr>
      <w:r>
        <w:rPr>
          <w:rFonts w:ascii="Times New Roman" w:hAnsi="Times New Roman" w:cs="Times New Roman"/>
          <w:i/>
          <w:szCs w:val="24"/>
        </w:rPr>
        <w:t>E</w:t>
      </w:r>
      <w:r w:rsidR="00CC1CBB" w:rsidRPr="00946698">
        <w:rPr>
          <w:rFonts w:ascii="Times New Roman" w:hAnsi="Times New Roman" w:cs="Times New Roman"/>
          <w:i/>
          <w:szCs w:val="24"/>
        </w:rPr>
        <w:t xml:space="preserve">-mail: </w:t>
      </w:r>
      <w:r w:rsidR="000C0C13">
        <w:rPr>
          <w:rStyle w:val="Hyperlink"/>
          <w:rFonts w:ascii="Times New Roman" w:hAnsi="Times New Roman" w:cs="Times New Roman"/>
          <w:szCs w:val="24"/>
          <w:lang w:val="id-ID"/>
        </w:rPr>
        <w:t>dirhamsyah1999@gmail.com</w:t>
      </w:r>
    </w:p>
    <w:p w14:paraId="497A4A7E" w14:textId="262CAE2E" w:rsidR="00CC1CBB" w:rsidRPr="008F0C26" w:rsidRDefault="00CC1CBB" w:rsidP="00CC1CBB">
      <w:pPr>
        <w:pStyle w:val="NoSpacing"/>
        <w:spacing w:line="360" w:lineRule="auto"/>
        <w:jc w:val="center"/>
        <w:rPr>
          <w:rFonts w:ascii="Times New Roman" w:hAnsi="Times New Roman" w:cs="Times New Roman"/>
          <w:b/>
          <w:i/>
          <w:szCs w:val="24"/>
        </w:rPr>
      </w:pPr>
      <w:r w:rsidRPr="00FF662D">
        <w:rPr>
          <w:rFonts w:ascii="Times New Roman" w:hAnsi="Times New Roman" w:cs="Times New Roman"/>
          <w:b/>
          <w:i/>
          <w:szCs w:val="24"/>
        </w:rPr>
        <w:t>ABSTRACT</w:t>
      </w:r>
      <w:r w:rsidR="008F0C26">
        <w:rPr>
          <w:rFonts w:ascii="Times New Roman" w:hAnsi="Times New Roman" w:cs="Times New Roman"/>
          <w:b/>
          <w:i/>
          <w:szCs w:val="24"/>
        </w:rPr>
        <w:t xml:space="preserve"> </w:t>
      </w:r>
    </w:p>
    <w:p w14:paraId="5B59F980" w14:textId="775F180F" w:rsidR="00F472E4" w:rsidRPr="00F103CF" w:rsidRDefault="00F103CF" w:rsidP="00FF662D">
      <w:pPr>
        <w:pStyle w:val="NoSpacing"/>
        <w:spacing w:after="120"/>
        <w:jc w:val="both"/>
        <w:rPr>
          <w:rFonts w:ascii="Times New Roman" w:hAnsi="Times New Roman" w:cs="Times New Roman"/>
          <w:i/>
          <w:lang w:val="id-ID"/>
        </w:rPr>
      </w:pPr>
      <w:r>
        <w:rPr>
          <w:rFonts w:ascii="Times New Roman" w:hAnsi="Times New Roman" w:cs="Times New Roman"/>
          <w:i/>
          <w:lang w:val="id-ID"/>
        </w:rPr>
        <w:t xml:space="preserve">This research was aimed at Conventional Banks listed on the Indonesia Stock Exchange for period 2015-2020. This research was a quantitative research, with selected sample of 17 banks for analysis with </w:t>
      </w:r>
      <w:r w:rsidR="004176FC">
        <w:rPr>
          <w:rFonts w:ascii="Times New Roman" w:hAnsi="Times New Roman" w:cs="Times New Roman"/>
          <w:i/>
          <w:lang w:val="id-ID"/>
        </w:rPr>
        <w:t xml:space="preserve">size, profitability, capital adequacy ratio, growth, liquidity, credit risk, and bank’s age on dividend payout ratio and payment dividend. The research analysis technique in this research was logit and tobit regression analysis. </w:t>
      </w:r>
      <w:r w:rsidR="004176FC" w:rsidRPr="004176FC">
        <w:rPr>
          <w:rFonts w:ascii="Times New Roman" w:hAnsi="Times New Roman" w:cs="Times New Roman"/>
          <w:i/>
          <w:lang w:val="id-ID"/>
        </w:rPr>
        <w:t>. The results of this study indicate that size and profitability have a negative effect on bank dividend payment decisions. Liquidity and age have a positive influence on dividend payment decisions. Meanwhile, capital adequacy, growth and liquidity do not have a significant effect on dividend payment policies.</w:t>
      </w:r>
    </w:p>
    <w:p w14:paraId="5A3EAB47" w14:textId="669CE7E6" w:rsidR="00CC1CBB" w:rsidRPr="00946698" w:rsidRDefault="00CC1CBB" w:rsidP="00946698">
      <w:pPr>
        <w:pStyle w:val="NoSpacing"/>
        <w:spacing w:before="120" w:after="360"/>
        <w:jc w:val="both"/>
        <w:rPr>
          <w:rFonts w:ascii="Times New Roman" w:hAnsi="Times New Roman" w:cs="Times New Roman"/>
          <w:i/>
        </w:rPr>
      </w:pPr>
      <w:r w:rsidRPr="001A666D">
        <w:rPr>
          <w:rFonts w:ascii="Times New Roman" w:hAnsi="Times New Roman" w:cs="Times New Roman"/>
          <w:b/>
          <w:i/>
        </w:rPr>
        <w:t>Keywords</w:t>
      </w:r>
      <w:r w:rsidR="00946698">
        <w:rPr>
          <w:rFonts w:ascii="Times New Roman" w:hAnsi="Times New Roman" w:cs="Times New Roman"/>
          <w:i/>
        </w:rPr>
        <w:t xml:space="preserve">: </w:t>
      </w:r>
      <w:r w:rsidR="009B33EB" w:rsidRPr="009B33EB">
        <w:rPr>
          <w:rFonts w:ascii="Times New Roman" w:hAnsi="Times New Roman" w:cs="Times New Roman"/>
          <w:i/>
        </w:rPr>
        <w:t>Age; bank; capital adequacy; credit risk; dividend payout ratio; growth; liquidity; profitability; size</w:t>
      </w:r>
    </w:p>
    <w:p w14:paraId="313D9A3C" w14:textId="42A5D21D" w:rsidR="00CC1CBB" w:rsidRPr="00595E9E" w:rsidRDefault="00CC1CBB" w:rsidP="00595E9E">
      <w:pPr>
        <w:pStyle w:val="NoSpacing"/>
        <w:spacing w:line="360" w:lineRule="auto"/>
        <w:jc w:val="center"/>
        <w:rPr>
          <w:rFonts w:ascii="Times New Roman" w:hAnsi="Times New Roman" w:cs="Times New Roman"/>
          <w:b/>
          <w:i/>
          <w:szCs w:val="24"/>
        </w:rPr>
      </w:pPr>
      <w:r w:rsidRPr="00FF662D">
        <w:rPr>
          <w:rFonts w:ascii="Times New Roman" w:hAnsi="Times New Roman" w:cs="Times New Roman"/>
          <w:b/>
          <w:i/>
        </w:rPr>
        <w:t>ABSTRAK</w:t>
      </w:r>
    </w:p>
    <w:p w14:paraId="05B7B480" w14:textId="6C9ABE51" w:rsidR="00595E9E" w:rsidRPr="00DD0B0A" w:rsidRDefault="00DD0B0A" w:rsidP="009C4CE5">
      <w:pPr>
        <w:pStyle w:val="NoSpacing"/>
        <w:spacing w:after="120"/>
        <w:jc w:val="both"/>
        <w:rPr>
          <w:rFonts w:ascii="Times New Roman" w:hAnsi="Times New Roman" w:cs="Times New Roman"/>
          <w:lang w:val="id-ID"/>
        </w:rPr>
      </w:pPr>
      <w:r>
        <w:rPr>
          <w:rFonts w:ascii="Times New Roman" w:hAnsi="Times New Roman" w:cs="Times New Roman"/>
          <w:lang w:val="id-ID"/>
        </w:rPr>
        <w:t>Penelitian ini ditujukan pada Bank Konvensional</w:t>
      </w:r>
      <w:r w:rsidR="006E7C15">
        <w:rPr>
          <w:rFonts w:ascii="Times New Roman" w:hAnsi="Times New Roman" w:cs="Times New Roman"/>
          <w:lang w:val="id-ID"/>
        </w:rPr>
        <w:t xml:space="preserve"> yang terdaftar di Bursa Efek Indonesia selama periode 2015-2020. Penelitian ini merupakan penelitian kuantitatif dengan sampel yang dipilih adalah 17 bank untuk dianalisis dengan ukuran, profitabilitas, rasio kecukupan modal, pertumbuhan, likuiditas, risiko kredit, dan umur bank terhadap kebijakan pembayaran dividen dan kecenderungan membayar dividen. Teknik analisis penelitian yang digunakan menggunakan analisis regresi tobit dan logit. Hasil penelitian menunjukkan </w:t>
      </w:r>
      <w:r w:rsidR="00F103CF">
        <w:rPr>
          <w:rFonts w:ascii="Times New Roman" w:hAnsi="Times New Roman" w:cs="Times New Roman"/>
          <w:lang w:val="id-ID"/>
        </w:rPr>
        <w:t xml:space="preserve">ukuran </w:t>
      </w:r>
      <w:r w:rsidR="006E7C15" w:rsidRPr="006E7C15">
        <w:rPr>
          <w:rFonts w:ascii="Times New Roman" w:hAnsi="Times New Roman" w:cs="Times New Roman"/>
          <w:lang w:val="id-ID"/>
        </w:rPr>
        <w:t>dan</w:t>
      </w:r>
      <w:r w:rsidR="00F103CF">
        <w:rPr>
          <w:rFonts w:ascii="Times New Roman" w:hAnsi="Times New Roman" w:cs="Times New Roman"/>
          <w:lang w:val="id-ID"/>
        </w:rPr>
        <w:t xml:space="preserve"> profitabilitas</w:t>
      </w:r>
      <w:r w:rsidR="006E7C15" w:rsidRPr="006E7C15">
        <w:rPr>
          <w:rFonts w:ascii="Times New Roman" w:hAnsi="Times New Roman" w:cs="Times New Roman"/>
          <w:lang w:val="id-ID"/>
        </w:rPr>
        <w:t xml:space="preserve"> memiliki pengaruh negatif terhadap kep</w:t>
      </w:r>
      <w:r w:rsidR="00F103CF">
        <w:rPr>
          <w:rFonts w:ascii="Times New Roman" w:hAnsi="Times New Roman" w:cs="Times New Roman"/>
          <w:lang w:val="id-ID"/>
        </w:rPr>
        <w:t xml:space="preserve">utusan pembayaran dividen bank. Likuiditas </w:t>
      </w:r>
      <w:r w:rsidR="006E7C15" w:rsidRPr="006E7C15">
        <w:rPr>
          <w:rFonts w:ascii="Times New Roman" w:hAnsi="Times New Roman" w:cs="Times New Roman"/>
          <w:lang w:val="id-ID"/>
        </w:rPr>
        <w:t>dan</w:t>
      </w:r>
      <w:r w:rsidR="00F103CF">
        <w:rPr>
          <w:rFonts w:ascii="Times New Roman" w:hAnsi="Times New Roman" w:cs="Times New Roman"/>
          <w:lang w:val="id-ID"/>
        </w:rPr>
        <w:t xml:space="preserve"> umur </w:t>
      </w:r>
      <w:r w:rsidR="006E7C15" w:rsidRPr="006E7C15">
        <w:rPr>
          <w:rFonts w:ascii="Times New Roman" w:hAnsi="Times New Roman" w:cs="Times New Roman"/>
          <w:lang w:val="id-ID"/>
        </w:rPr>
        <w:t>memiliki pengaruh positif terhadap keputusan pembayaran dividen. Sedangkan</w:t>
      </w:r>
      <w:r w:rsidR="00F103CF">
        <w:rPr>
          <w:rFonts w:ascii="Times New Roman" w:hAnsi="Times New Roman" w:cs="Times New Roman"/>
          <w:lang w:val="id-ID"/>
        </w:rPr>
        <w:t xml:space="preserve"> rasio kecukupan modal, pertumbuhan, dan risiko kredit</w:t>
      </w:r>
      <w:r w:rsidR="006E7C15" w:rsidRPr="006E7C15">
        <w:rPr>
          <w:rFonts w:ascii="Times New Roman" w:hAnsi="Times New Roman" w:cs="Times New Roman"/>
          <w:lang w:val="id-ID"/>
        </w:rPr>
        <w:t xml:space="preserve"> tidak memiliki pengaruh signifikan terhadap kebijakan pembayaran dividen</w:t>
      </w:r>
      <w:r w:rsidR="006E7C15">
        <w:rPr>
          <w:rFonts w:ascii="Times New Roman" w:hAnsi="Times New Roman" w:cs="Times New Roman"/>
          <w:lang w:val="id-ID"/>
        </w:rPr>
        <w:t xml:space="preserve"> </w:t>
      </w:r>
    </w:p>
    <w:p w14:paraId="76CAD83C" w14:textId="60209017" w:rsidR="00B72DCC" w:rsidRPr="009B33EB" w:rsidRDefault="00946698" w:rsidP="009C4CE5">
      <w:pPr>
        <w:pStyle w:val="NoSpacing"/>
        <w:spacing w:after="600"/>
        <w:jc w:val="both"/>
        <w:rPr>
          <w:rFonts w:ascii="Times New Roman" w:hAnsi="Times New Roman" w:cs="Times New Roman"/>
          <w:szCs w:val="24"/>
          <w:lang w:val="id-ID"/>
        </w:rPr>
      </w:pPr>
      <w:r w:rsidRPr="00FF662D">
        <w:rPr>
          <w:rFonts w:ascii="Times New Roman" w:hAnsi="Times New Roman" w:cs="Times New Roman"/>
          <w:b/>
          <w:szCs w:val="24"/>
        </w:rPr>
        <w:t>Kata Kunci</w:t>
      </w:r>
      <w:r w:rsidR="00CC1CBB" w:rsidRPr="00FF662D">
        <w:rPr>
          <w:rFonts w:ascii="Times New Roman" w:hAnsi="Times New Roman" w:cs="Times New Roman"/>
          <w:b/>
          <w:szCs w:val="24"/>
        </w:rPr>
        <w:t xml:space="preserve">: </w:t>
      </w:r>
      <w:r w:rsidR="009B33EB">
        <w:rPr>
          <w:rFonts w:ascii="Times New Roman" w:hAnsi="Times New Roman" w:cs="Times New Roman"/>
          <w:szCs w:val="24"/>
          <w:lang w:val="id-ID"/>
        </w:rPr>
        <w:t>umur; bank; rasio kecukupan modal; risiko kredit; kebijakan pembayaran dividen; pertumbuhan; likuiditas; profitabilitas; ukuran</w:t>
      </w:r>
    </w:p>
    <w:p w14:paraId="5ECB7125" w14:textId="674EF9CA" w:rsidR="00946698" w:rsidRPr="00946698" w:rsidRDefault="00946698" w:rsidP="00FF662D">
      <w:pPr>
        <w:pStyle w:val="NoSpacing"/>
        <w:spacing w:after="600" w:line="360" w:lineRule="auto"/>
        <w:jc w:val="both"/>
        <w:rPr>
          <w:rFonts w:ascii="Times New Roman" w:hAnsi="Times New Roman" w:cs="Times New Roman"/>
          <w:szCs w:val="24"/>
        </w:rPr>
        <w:sectPr w:rsidR="00946698" w:rsidRPr="00946698" w:rsidSect="00FF662D">
          <w:headerReference w:type="even" r:id="rId8"/>
          <w:headerReference w:type="default" r:id="rId9"/>
          <w:headerReference w:type="first" r:id="rId10"/>
          <w:footerReference w:type="first" r:id="rId11"/>
          <w:pgSz w:w="11906" w:h="16838"/>
          <w:pgMar w:top="1440" w:right="1440" w:bottom="1440" w:left="1440" w:header="709" w:footer="709" w:gutter="0"/>
          <w:cols w:space="708"/>
          <w:titlePg/>
          <w:docGrid w:linePitch="360"/>
        </w:sectPr>
      </w:pPr>
    </w:p>
    <w:p w14:paraId="3DC091FA" w14:textId="30491EFF" w:rsidR="00CC1CBB" w:rsidRPr="00F52FFB" w:rsidRDefault="00CC1CBB" w:rsidP="00FF620A">
      <w:pPr>
        <w:pStyle w:val="NoSpacing"/>
        <w:spacing w:before="600" w:after="120" w:line="276" w:lineRule="auto"/>
        <w:jc w:val="both"/>
        <w:rPr>
          <w:rFonts w:ascii="Times New Roman" w:hAnsi="Times New Roman" w:cs="Times New Roman"/>
          <w:b/>
          <w:sz w:val="24"/>
          <w:szCs w:val="24"/>
        </w:rPr>
      </w:pPr>
      <w:r w:rsidRPr="00F52FFB">
        <w:rPr>
          <w:rFonts w:ascii="Times New Roman" w:hAnsi="Times New Roman" w:cs="Times New Roman"/>
          <w:b/>
          <w:sz w:val="24"/>
          <w:szCs w:val="24"/>
        </w:rPr>
        <w:lastRenderedPageBreak/>
        <w:t>PENDAHULUAN</w:t>
      </w:r>
      <w:r w:rsidR="000F4DEB">
        <w:rPr>
          <w:rFonts w:ascii="Times New Roman" w:hAnsi="Times New Roman" w:cs="Times New Roman"/>
          <w:b/>
          <w:sz w:val="24"/>
          <w:szCs w:val="24"/>
        </w:rPr>
        <w:t xml:space="preserve"> </w:t>
      </w:r>
    </w:p>
    <w:p w14:paraId="2DC4147A" w14:textId="77777777" w:rsidR="000C0C13" w:rsidRDefault="000C0C13" w:rsidP="005018CE">
      <w:pPr>
        <w:pStyle w:val="NoSpacing"/>
        <w:spacing w:line="276" w:lineRule="auto"/>
        <w:ind w:firstLine="567"/>
        <w:jc w:val="both"/>
        <w:rPr>
          <w:rFonts w:ascii="Times New Roman" w:hAnsi="Times New Roman" w:cs="Times New Roman"/>
          <w:sz w:val="24"/>
          <w:szCs w:val="24"/>
        </w:rPr>
      </w:pPr>
      <w:r w:rsidRPr="000C0C13">
        <w:rPr>
          <w:rFonts w:ascii="Times New Roman" w:hAnsi="Times New Roman" w:cs="Times New Roman"/>
          <w:sz w:val="24"/>
          <w:szCs w:val="24"/>
        </w:rPr>
        <w:t xml:space="preserve">Perbankan memiliki peran yang sangat penting bagi sebuah negara karena perbankan memiliki fungsi untuk menjaga kestabilan sistem keuangan dan perekonomian suatu negara. Perbankan menerapkan prinsip kehati-hatian dimana mewajibkan bank selalu berhati-hati dalam </w:t>
      </w:r>
      <w:r w:rsidRPr="000C0C13">
        <w:rPr>
          <w:rFonts w:ascii="Times New Roman" w:hAnsi="Times New Roman" w:cs="Times New Roman"/>
          <w:sz w:val="24"/>
          <w:szCs w:val="24"/>
        </w:rPr>
        <w:lastRenderedPageBreak/>
        <w:t xml:space="preserve">melakukan kegiatan operasionalnya agar tidak membahayakan baik nasabah, masyarakat dan perekonomian negara. Bank diharapkan dapat menjadi penopang dalam bertahan menjaga stabilitas perekonomian negara jika sewaktu-waktu krisis moneter terjadi. Untuk itu, bank harus menjaga </w:t>
      </w:r>
      <w:proofErr w:type="gramStart"/>
      <w:r w:rsidRPr="000C0C13">
        <w:rPr>
          <w:rFonts w:ascii="Times New Roman" w:hAnsi="Times New Roman" w:cs="Times New Roman"/>
          <w:sz w:val="24"/>
          <w:szCs w:val="24"/>
        </w:rPr>
        <w:t>nama</w:t>
      </w:r>
      <w:proofErr w:type="gramEnd"/>
      <w:r w:rsidRPr="000C0C13">
        <w:rPr>
          <w:rFonts w:ascii="Times New Roman" w:hAnsi="Times New Roman" w:cs="Times New Roman"/>
          <w:sz w:val="24"/>
          <w:szCs w:val="24"/>
        </w:rPr>
        <w:t xml:space="preserve"> baik dan meningkatkan nilai </w:t>
      </w:r>
      <w:r w:rsidRPr="000C0C13">
        <w:rPr>
          <w:rFonts w:ascii="Times New Roman" w:hAnsi="Times New Roman" w:cs="Times New Roman"/>
          <w:sz w:val="24"/>
          <w:szCs w:val="24"/>
        </w:rPr>
        <w:lastRenderedPageBreak/>
        <w:t>bank untuk menjaga kepercayaan dari nasabah dan masyarakat. Salah satu hal yang dapat ditinjau untuk mengukur nilai suatu perusahaan adalah kinerja keuangan, pergerakan harga saham dan</w:t>
      </w:r>
      <w:r>
        <w:rPr>
          <w:rFonts w:ascii="Times New Roman" w:hAnsi="Times New Roman" w:cs="Times New Roman"/>
          <w:sz w:val="24"/>
          <w:szCs w:val="24"/>
        </w:rPr>
        <w:t xml:space="preserve"> kemakmuran para pemegang saham. </w:t>
      </w:r>
    </w:p>
    <w:p w14:paraId="4C37FE08" w14:textId="77777777" w:rsidR="000C0C13" w:rsidRDefault="000C0C13"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t>Perbankan Indonesia mengalami masa-masa sulit selama 5 tahun terakhir yang disebabkan oleh perlambatan faktor ekonomi dengan rata-rata pertumbuhan kredit selama 5 tahun hanya kisaran 10% per tahun. Apalagi munculnya pandemi covid-19 di tahun 2020 semakin menekan sektor perbankan Indonesia yang ditandai dengan minus 2,41% (yoy) pada penyaluran kredit bank yang diakibatkan perlambatan sektor riil. Walaupun demikian kredit Bank BUMN masih tetap tumbuh sekitar 0</w:t>
      </w:r>
      <w:proofErr w:type="gramStart"/>
      <w:r w:rsidRPr="000C0C13">
        <w:rPr>
          <w:rFonts w:ascii="Times New Roman" w:eastAsia="Times New Roman" w:hAnsi="Times New Roman" w:cs="Times New Roman"/>
          <w:sz w:val="24"/>
          <w:szCs w:val="24"/>
        </w:rPr>
        <w:t>,63</w:t>
      </w:r>
      <w:proofErr w:type="gramEnd"/>
      <w:r w:rsidRPr="000C0C13">
        <w:rPr>
          <w:rFonts w:ascii="Times New Roman" w:eastAsia="Times New Roman" w:hAnsi="Times New Roman" w:cs="Times New Roman"/>
          <w:sz w:val="24"/>
          <w:szCs w:val="24"/>
        </w:rPr>
        <w:t>%. Selain itu kredit BPD juga tumbuh 5</w:t>
      </w:r>
      <w:proofErr w:type="gramStart"/>
      <w:r w:rsidRPr="000C0C13">
        <w:rPr>
          <w:rFonts w:ascii="Times New Roman" w:eastAsia="Times New Roman" w:hAnsi="Times New Roman" w:cs="Times New Roman"/>
          <w:sz w:val="24"/>
          <w:szCs w:val="24"/>
        </w:rPr>
        <w:t>,22</w:t>
      </w:r>
      <w:proofErr w:type="gramEnd"/>
      <w:r w:rsidRPr="000C0C13">
        <w:rPr>
          <w:rFonts w:ascii="Times New Roman" w:eastAsia="Times New Roman" w:hAnsi="Times New Roman" w:cs="Times New Roman"/>
          <w:sz w:val="24"/>
          <w:szCs w:val="24"/>
        </w:rPr>
        <w:t>% serta bank syariah tumbuh cukup tinggi dari sektor perbankan lain dengan tingkat pertumbuhan 9,5% per tahun. Meski begitu rata-rata bank masih membayarkan dividennya kepada pemegang saham (Septiadi, 2020).</w:t>
      </w:r>
    </w:p>
    <w:p w14:paraId="268A06A5" w14:textId="2F59FC4C" w:rsidR="000C0C13" w:rsidRDefault="000C0C13"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t xml:space="preserve">Setiap perusahaan tidak terkecuali bank menginginkan untuk memiliki kinerja keuangan yang baik agar dapat tumbuh dan berkembang sehingga memiliki kemampuan untuk memberikan tingkat return kepada stakeholder atau pihak yang memiliki kepentingan terhadap perusahaan. Salah satu pihak tersebut adalah pemegang saham pada perusahaan go public. Pemegang saham berharap dapat mendapatkan tingkat return yang tinggi dari investasinya secara kontinyu dalam bentuk dividen yang dibagikan oleh perusahaan. Dividen yang diberikan secara berkala dan konsisten dapat memberikan kesan yang baik dimata pemegang saham dan dimata </w:t>
      </w:r>
      <w:r w:rsidRPr="000C0C13">
        <w:rPr>
          <w:rFonts w:ascii="Times New Roman" w:eastAsia="Times New Roman" w:hAnsi="Times New Roman" w:cs="Times New Roman"/>
          <w:sz w:val="24"/>
          <w:szCs w:val="24"/>
        </w:rPr>
        <w:lastRenderedPageBreak/>
        <w:t>publik serta menyiratkan bahwa perusahaan tersebut dalam kondisi yang baik serta kinerja yang menjanjikan.</w:t>
      </w:r>
    </w:p>
    <w:p w14:paraId="2A30B4EB" w14:textId="3FD41AE3" w:rsidR="000C0C13" w:rsidRDefault="000C0C13"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t xml:space="preserve">Kebijakan dividen ini sudah banyak menjadi pembahasan oleh para sarjana dan cendekiawan dalam literatur keuangan perusahaan (Budagaga, 2020). Kebijakan pembayaran dividen membuat banyak manajer dilema mengenai apakah laba yang diperoleh perusahaan </w:t>
      </w:r>
      <w:proofErr w:type="gramStart"/>
      <w:r w:rsidRPr="000C0C13">
        <w:rPr>
          <w:rFonts w:ascii="Times New Roman" w:eastAsia="Times New Roman" w:hAnsi="Times New Roman" w:cs="Times New Roman"/>
          <w:sz w:val="24"/>
          <w:szCs w:val="24"/>
        </w:rPr>
        <w:t>akan</w:t>
      </w:r>
      <w:proofErr w:type="gramEnd"/>
      <w:r w:rsidRPr="000C0C13">
        <w:rPr>
          <w:rFonts w:ascii="Times New Roman" w:eastAsia="Times New Roman" w:hAnsi="Times New Roman" w:cs="Times New Roman"/>
          <w:sz w:val="24"/>
          <w:szCs w:val="24"/>
        </w:rPr>
        <w:t xml:space="preserve"> dibagikan kepada investor sesuai dengan jumlah saham yang dimiliki sebagai dividen atau akan dijadikan retained earning untuk menambah modal investasi perusahaan di masa mendatang (Utami &amp; Darmayanti, 2018). Pembayaran dividen yang kecil </w:t>
      </w:r>
      <w:proofErr w:type="gramStart"/>
      <w:r w:rsidRPr="000C0C13">
        <w:rPr>
          <w:rFonts w:ascii="Times New Roman" w:eastAsia="Times New Roman" w:hAnsi="Times New Roman" w:cs="Times New Roman"/>
          <w:sz w:val="24"/>
          <w:szCs w:val="24"/>
        </w:rPr>
        <w:t>akan</w:t>
      </w:r>
      <w:proofErr w:type="gramEnd"/>
      <w:r w:rsidRPr="000C0C13">
        <w:rPr>
          <w:rFonts w:ascii="Times New Roman" w:eastAsia="Times New Roman" w:hAnsi="Times New Roman" w:cs="Times New Roman"/>
          <w:sz w:val="24"/>
          <w:szCs w:val="24"/>
        </w:rPr>
        <w:t xml:space="preserve"> merugikan para pemegang saham namun internal finansial perusahaan akan semakin kuat karena dana tersebut akan ditahan untuk memanfaatkan peluang investasi yang ada dalam mengembangkan perusahaan (Estiasih et al., 2020).</w:t>
      </w:r>
    </w:p>
    <w:p w14:paraId="47184D9B" w14:textId="06EDC09D" w:rsidR="000C0C13" w:rsidRDefault="000C0C13"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t xml:space="preserve">Keputusan pembagian dividen disesuaikan dengan masing-masing kondisi dan kebijakan dari perusahaan tersebut. Banyak faktor yang dapat dipertimbangkan oleh manajer sebelum mengambil keputusan terkait pembagian dividen. Tentu saja hal itu bertujuan agar terjadi keseimbangan antara kepentingan investor dan manajer perusahaan terkait dengan keputusan pembayaran dividen. Kebijakan pembayaran dividen yang optimal </w:t>
      </w:r>
      <w:proofErr w:type="gramStart"/>
      <w:r w:rsidRPr="000C0C13">
        <w:rPr>
          <w:rFonts w:ascii="Times New Roman" w:eastAsia="Times New Roman" w:hAnsi="Times New Roman" w:cs="Times New Roman"/>
          <w:sz w:val="24"/>
          <w:szCs w:val="24"/>
        </w:rPr>
        <w:t>akan</w:t>
      </w:r>
      <w:proofErr w:type="gramEnd"/>
      <w:r w:rsidRPr="000C0C13">
        <w:rPr>
          <w:rFonts w:ascii="Times New Roman" w:eastAsia="Times New Roman" w:hAnsi="Times New Roman" w:cs="Times New Roman"/>
          <w:sz w:val="24"/>
          <w:szCs w:val="24"/>
        </w:rPr>
        <w:t xml:space="preserve"> menghasilkan peningkatan nilai dan kinerja perusahaan.</w:t>
      </w:r>
    </w:p>
    <w:p w14:paraId="6A02E933" w14:textId="4490C91D" w:rsidR="000C0C13" w:rsidRDefault="000C0C13"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t>Penelitian terkait faktor yang mempengaruhi kebijakan manajer dalam mengambil keputusan pembayaran dividen telah banyak dilakukan oleh peneliti di dunia.</w:t>
      </w:r>
      <w:r>
        <w:rPr>
          <w:rFonts w:ascii="Times New Roman" w:eastAsia="Times New Roman" w:hAnsi="Times New Roman" w:cs="Times New Roman"/>
          <w:sz w:val="24"/>
          <w:szCs w:val="24"/>
        </w:rPr>
        <w:t xml:space="preserve"> Misal penelitian dengan judul </w:t>
      </w:r>
      <w:r w:rsidRPr="000C0C13">
        <w:rPr>
          <w:rFonts w:ascii="Times New Roman" w:eastAsia="Times New Roman" w:hAnsi="Times New Roman" w:cs="Times New Roman"/>
          <w:i/>
          <w:sz w:val="24"/>
          <w:szCs w:val="24"/>
        </w:rPr>
        <w:t xml:space="preserve">Determinants of banks’ dividend payment </w:t>
      </w:r>
      <w:r w:rsidRPr="000C0C13">
        <w:rPr>
          <w:rFonts w:ascii="Times New Roman" w:eastAsia="Times New Roman" w:hAnsi="Times New Roman" w:cs="Times New Roman"/>
          <w:i/>
          <w:sz w:val="24"/>
          <w:szCs w:val="24"/>
        </w:rPr>
        <w:lastRenderedPageBreak/>
        <w:t>decisions: evidence from MENA countries</w:t>
      </w:r>
      <w:r>
        <w:rPr>
          <w:rFonts w:ascii="Times New Roman" w:eastAsia="Times New Roman" w:hAnsi="Times New Roman" w:cs="Times New Roman"/>
          <w:sz w:val="24"/>
          <w:szCs w:val="24"/>
          <w:lang w:val="id-ID"/>
        </w:rPr>
        <w:t xml:space="preserve"> </w:t>
      </w:r>
      <w:r w:rsidRPr="000C0C13">
        <w:rPr>
          <w:rFonts w:ascii="Times New Roman" w:eastAsia="Times New Roman" w:hAnsi="Times New Roman" w:cs="Times New Roman"/>
          <w:sz w:val="24"/>
          <w:szCs w:val="24"/>
        </w:rPr>
        <w:t xml:space="preserve">(Budagaga, 2020). Penelitian ini menganalisis pengaruh size, profitability, capital adequacy, liquidity, credit risk, dan bank’s age terhadap kebijakan pembayaran dividen bank di negara MENA. Hasilnya </w:t>
      </w:r>
      <w:r w:rsidRPr="000C0C13">
        <w:rPr>
          <w:rFonts w:ascii="Times New Roman" w:eastAsia="Times New Roman" w:hAnsi="Times New Roman" w:cs="Times New Roman"/>
          <w:i/>
          <w:sz w:val="24"/>
          <w:szCs w:val="24"/>
        </w:rPr>
        <w:t>size, profitability, capital Adequacy, age</w:t>
      </w:r>
      <w:r w:rsidRPr="000C0C13">
        <w:rPr>
          <w:rFonts w:ascii="Times New Roman" w:eastAsia="Times New Roman" w:hAnsi="Times New Roman" w:cs="Times New Roman"/>
          <w:sz w:val="24"/>
          <w:szCs w:val="24"/>
        </w:rPr>
        <w:t xml:space="preserve"> memiliki pengaruh positif, sedangkan </w:t>
      </w:r>
      <w:r w:rsidRPr="000C0C13">
        <w:rPr>
          <w:rFonts w:ascii="Times New Roman" w:eastAsia="Times New Roman" w:hAnsi="Times New Roman" w:cs="Times New Roman"/>
          <w:i/>
          <w:sz w:val="24"/>
          <w:szCs w:val="24"/>
        </w:rPr>
        <w:t>credit risk</w:t>
      </w:r>
      <w:r w:rsidRPr="000C0C13">
        <w:rPr>
          <w:rFonts w:ascii="Times New Roman" w:eastAsia="Times New Roman" w:hAnsi="Times New Roman" w:cs="Times New Roman"/>
          <w:sz w:val="24"/>
          <w:szCs w:val="24"/>
        </w:rPr>
        <w:t xml:space="preserve"> memiliki pengaruh negatif terhadap kebijakan pembayaran dividen bank. Selain itu, </w:t>
      </w:r>
      <w:r w:rsidRPr="000C0C13">
        <w:rPr>
          <w:rFonts w:ascii="Times New Roman" w:eastAsia="Times New Roman" w:hAnsi="Times New Roman" w:cs="Times New Roman"/>
          <w:i/>
          <w:sz w:val="24"/>
          <w:szCs w:val="24"/>
        </w:rPr>
        <w:t>growth</w:t>
      </w:r>
      <w:r w:rsidRPr="000C0C13">
        <w:rPr>
          <w:rFonts w:ascii="Times New Roman" w:eastAsia="Times New Roman" w:hAnsi="Times New Roman" w:cs="Times New Roman"/>
          <w:sz w:val="24"/>
          <w:szCs w:val="24"/>
        </w:rPr>
        <w:t xml:space="preserve"> dan </w:t>
      </w:r>
      <w:r w:rsidRPr="000C0C13">
        <w:rPr>
          <w:rFonts w:ascii="Times New Roman" w:eastAsia="Times New Roman" w:hAnsi="Times New Roman" w:cs="Times New Roman"/>
          <w:i/>
          <w:sz w:val="24"/>
          <w:szCs w:val="24"/>
        </w:rPr>
        <w:t>liquidity</w:t>
      </w:r>
      <w:r w:rsidRPr="000C0C13">
        <w:rPr>
          <w:rFonts w:ascii="Times New Roman" w:eastAsia="Times New Roman" w:hAnsi="Times New Roman" w:cs="Times New Roman"/>
          <w:sz w:val="24"/>
          <w:szCs w:val="24"/>
        </w:rPr>
        <w:t xml:space="preserve"> tidak berpengaruh secara signifikan terhadap pembayaran dividen bank.</w:t>
      </w:r>
    </w:p>
    <w:tbl>
      <w:tblPr>
        <w:tblpPr w:leftFromText="180" w:rightFromText="180" w:vertAnchor="text" w:horzAnchor="margin" w:tblpY="5932"/>
        <w:tblW w:w="9467" w:type="dxa"/>
        <w:tblLayout w:type="fixed"/>
        <w:tblCellMar>
          <w:top w:w="15" w:type="dxa"/>
          <w:left w:w="15" w:type="dxa"/>
          <w:bottom w:w="15" w:type="dxa"/>
          <w:right w:w="15" w:type="dxa"/>
        </w:tblCellMar>
        <w:tblLook w:val="04A0" w:firstRow="1" w:lastRow="0" w:firstColumn="1" w:lastColumn="0" w:noHBand="0" w:noVBand="1"/>
      </w:tblPr>
      <w:tblGrid>
        <w:gridCol w:w="1185"/>
        <w:gridCol w:w="920"/>
        <w:gridCol w:w="921"/>
        <w:gridCol w:w="920"/>
        <w:gridCol w:w="920"/>
        <w:gridCol w:w="920"/>
        <w:gridCol w:w="921"/>
        <w:gridCol w:w="920"/>
        <w:gridCol w:w="920"/>
        <w:gridCol w:w="920"/>
      </w:tblGrid>
      <w:tr w:rsidR="007E6381" w:rsidRPr="00705FF1" w14:paraId="405D6C6C" w14:textId="77777777" w:rsidTr="007E6381">
        <w:trPr>
          <w:trHeight w:val="25"/>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205919" w14:textId="77777777" w:rsidR="007E6381" w:rsidRPr="003E1C78" w:rsidRDefault="007E6381" w:rsidP="007E6381">
            <w:pPr>
              <w:spacing w:line="240" w:lineRule="auto"/>
              <w:jc w:val="center"/>
              <w:rPr>
                <w:rFonts w:ascii="Times New Roman" w:eastAsia="Times New Roman" w:hAnsi="Times New Roman" w:cs="Times New Roman"/>
                <w:sz w:val="16"/>
                <w:szCs w:val="20"/>
              </w:rPr>
            </w:pP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06DF64" w14:textId="77777777"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DPOR</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B4A180" w14:textId="77777777"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PAYDIV</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A45862" w14:textId="77777777"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SIZE</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F79E0" w14:textId="77777777"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ROE</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534AC9" w14:textId="3C9EEC6D"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E_TA</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68D4A4" w14:textId="493F5D2B"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GTA</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26653" w14:textId="14E111F8"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NL_TA</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0C7AB0" w14:textId="77777777"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CR</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CB6138" w14:textId="77777777" w:rsidR="007E6381" w:rsidRPr="003E1C78" w:rsidRDefault="007E6381" w:rsidP="007E6381">
            <w:pPr>
              <w:spacing w:line="240" w:lineRule="auto"/>
              <w:jc w:val="center"/>
              <w:rPr>
                <w:rFonts w:ascii="Times New Roman" w:eastAsia="Times New Roman" w:hAnsi="Times New Roman" w:cs="Times New Roman"/>
                <w:sz w:val="16"/>
                <w:szCs w:val="20"/>
              </w:rPr>
            </w:pPr>
            <w:r w:rsidRPr="003E1C78">
              <w:rPr>
                <w:rFonts w:ascii="Times New Roman" w:eastAsia="Times New Roman" w:hAnsi="Times New Roman" w:cs="Times New Roman"/>
                <w:b/>
                <w:bCs/>
                <w:i/>
                <w:iCs/>
                <w:color w:val="000000"/>
                <w:sz w:val="16"/>
                <w:szCs w:val="20"/>
              </w:rPr>
              <w:t>AGE</w:t>
            </w:r>
          </w:p>
        </w:tc>
      </w:tr>
      <w:tr w:rsidR="007E6381" w:rsidRPr="00705FF1" w14:paraId="4F9C5AA4" w14:textId="77777777" w:rsidTr="007E6381">
        <w:trPr>
          <w:trHeight w:val="74"/>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54539"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Mean</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7B50"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0.313154</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0A393"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0.813725</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00D61"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20.07877</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E06F3"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0.089023</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D6169" w14:textId="3535D3FB"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0.169897</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EB769"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0.220839</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F0ED0" w14:textId="2FE7E3BB"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0.636667</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808F9"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0.030668</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CEFE8"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4.079211</w:t>
            </w:r>
          </w:p>
        </w:tc>
      </w:tr>
      <w:tr w:rsidR="007E6381" w:rsidRPr="00705FF1" w14:paraId="7F66FECD" w14:textId="77777777" w:rsidTr="007E6381">
        <w:trPr>
          <w:trHeight w:val="49"/>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E2ABB"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Maximum</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A2A04"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2.683633</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AAC60"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1.000000</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3BF4E"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30.28142</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F0AD8"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0.224621</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FF5CE" w14:textId="41EDE91D"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0.283145</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5CAE9"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11.69486</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615C7" w14:textId="1AA7E90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1.479275</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E3190"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0.108978</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0129E"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4.836282</w:t>
            </w:r>
          </w:p>
        </w:tc>
      </w:tr>
      <w:tr w:rsidR="007E6381" w:rsidRPr="00705FF1" w14:paraId="2C14641F" w14:textId="77777777" w:rsidTr="007E6381">
        <w:trPr>
          <w:trHeight w:val="6"/>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A02A6"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Minimum</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45DAB"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-0.04207</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A27E9"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0.000000</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9F7BA"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7.947911</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16B7F" w14:textId="20952319"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-0.33609</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5A135"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0.055336</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63F53" w14:textId="28BA3B03"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-0.13411</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84185" w14:textId="53B7F95D"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0.393846</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67A82"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0.000570</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6BC59"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2.833213</w:t>
            </w:r>
          </w:p>
        </w:tc>
      </w:tr>
      <w:tr w:rsidR="007E6381" w:rsidRPr="00705FF1" w14:paraId="776F8232" w14:textId="77777777" w:rsidTr="007E6381">
        <w:trPr>
          <w:trHeight w:val="20"/>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1BF2C"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b/>
                <w:bCs/>
                <w:color w:val="000000"/>
                <w:sz w:val="16"/>
                <w:szCs w:val="20"/>
              </w:rPr>
              <w:t>Std. Deviation</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FC084"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0.373692</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775E"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0.391251</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5552C"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4.735228</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154ED" w14:textId="5B4E7BA9"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0.073440</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3B6B4"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0.105007</w:t>
            </w:r>
          </w:p>
        </w:tc>
        <w:tc>
          <w:tcPr>
            <w:tcW w:w="9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4F07C" w14:textId="4EB7C1C3"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1.151635</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A82DC"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0.117743</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B2C81"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0.021431</w:t>
            </w:r>
          </w:p>
        </w:tc>
        <w:tc>
          <w:tcPr>
            <w:tcW w:w="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730FF" w14:textId="77777777" w:rsidR="007E6381" w:rsidRPr="003E1C78" w:rsidRDefault="007E6381" w:rsidP="007E6381">
            <w:pPr>
              <w:spacing w:line="240" w:lineRule="auto"/>
              <w:jc w:val="both"/>
              <w:rPr>
                <w:rFonts w:ascii="Times New Roman" w:eastAsia="Times New Roman" w:hAnsi="Times New Roman" w:cs="Times New Roman"/>
                <w:sz w:val="16"/>
                <w:szCs w:val="20"/>
              </w:rPr>
            </w:pPr>
            <w:r w:rsidRPr="003E1C78">
              <w:rPr>
                <w:rFonts w:ascii="Times New Roman" w:eastAsia="Times New Roman" w:hAnsi="Times New Roman" w:cs="Times New Roman"/>
                <w:color w:val="000000"/>
                <w:sz w:val="16"/>
                <w:szCs w:val="20"/>
              </w:rPr>
              <w:t>0.454847</w:t>
            </w:r>
          </w:p>
        </w:tc>
      </w:tr>
    </w:tbl>
    <w:p w14:paraId="42070BAD" w14:textId="41E8D6BD" w:rsidR="007E6381" w:rsidRDefault="007E6381"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t xml:space="preserve"> </w:t>
      </w:r>
      <w:r w:rsidR="000C0C13" w:rsidRPr="000C0C13">
        <w:rPr>
          <w:rFonts w:ascii="Times New Roman" w:eastAsia="Times New Roman" w:hAnsi="Times New Roman" w:cs="Times New Roman"/>
          <w:sz w:val="24"/>
          <w:szCs w:val="24"/>
        </w:rPr>
        <w:t>Oleh karena itu, penelitian ini dimaksudkan untuk meneliti kembali faktor-faktor (</w:t>
      </w:r>
      <w:r w:rsidR="000C0C13" w:rsidRPr="000C0C13">
        <w:rPr>
          <w:rFonts w:ascii="Times New Roman" w:eastAsia="Times New Roman" w:hAnsi="Times New Roman" w:cs="Times New Roman"/>
          <w:i/>
          <w:sz w:val="24"/>
          <w:szCs w:val="24"/>
        </w:rPr>
        <w:t>size, profitability, capital adequacy</w:t>
      </w:r>
      <w:r w:rsidR="00E46FC5">
        <w:rPr>
          <w:rFonts w:ascii="Times New Roman" w:eastAsia="Times New Roman" w:hAnsi="Times New Roman" w:cs="Times New Roman"/>
          <w:i/>
          <w:sz w:val="24"/>
          <w:szCs w:val="24"/>
          <w:lang w:val="id-ID"/>
        </w:rPr>
        <w:t xml:space="preserve"> ratio</w:t>
      </w:r>
      <w:r w:rsidR="000C0C13" w:rsidRPr="000C0C13">
        <w:rPr>
          <w:rFonts w:ascii="Times New Roman" w:eastAsia="Times New Roman" w:hAnsi="Times New Roman" w:cs="Times New Roman"/>
          <w:i/>
          <w:sz w:val="24"/>
          <w:szCs w:val="24"/>
        </w:rPr>
        <w:t xml:space="preserve">, </w:t>
      </w:r>
      <w:r w:rsidR="00E46FC5">
        <w:rPr>
          <w:rFonts w:ascii="Times New Roman" w:eastAsia="Times New Roman" w:hAnsi="Times New Roman" w:cs="Times New Roman"/>
          <w:i/>
          <w:sz w:val="24"/>
          <w:szCs w:val="24"/>
          <w:lang w:val="id-ID"/>
        </w:rPr>
        <w:t xml:space="preserve">growth, </w:t>
      </w:r>
      <w:r w:rsidR="000C0C13" w:rsidRPr="000C0C13">
        <w:rPr>
          <w:rFonts w:ascii="Times New Roman" w:eastAsia="Times New Roman" w:hAnsi="Times New Roman" w:cs="Times New Roman"/>
          <w:i/>
          <w:sz w:val="24"/>
          <w:szCs w:val="24"/>
        </w:rPr>
        <w:t>liquidity, credit risk</w:t>
      </w:r>
      <w:r w:rsidR="000C0C13" w:rsidRPr="000C0C13">
        <w:rPr>
          <w:rFonts w:ascii="Times New Roman" w:eastAsia="Times New Roman" w:hAnsi="Times New Roman" w:cs="Times New Roman"/>
          <w:sz w:val="24"/>
          <w:szCs w:val="24"/>
        </w:rPr>
        <w:t xml:space="preserve">, dan </w:t>
      </w:r>
      <w:r w:rsidR="000C0C13" w:rsidRPr="000C0C13">
        <w:rPr>
          <w:rFonts w:ascii="Times New Roman" w:eastAsia="Times New Roman" w:hAnsi="Times New Roman" w:cs="Times New Roman"/>
          <w:i/>
          <w:sz w:val="24"/>
          <w:szCs w:val="24"/>
        </w:rPr>
        <w:t>bank’s age</w:t>
      </w:r>
      <w:r w:rsidR="000C0C13" w:rsidRPr="000C0C13">
        <w:rPr>
          <w:rFonts w:ascii="Times New Roman" w:eastAsia="Times New Roman" w:hAnsi="Times New Roman" w:cs="Times New Roman"/>
          <w:sz w:val="24"/>
          <w:szCs w:val="24"/>
        </w:rPr>
        <w:t xml:space="preserve">) terhadap kebijakan manajer terkait dengan pembayaran dividen yang akan diberikan kepada para pemegang saham yang dihitung dengan DPOR. Biasanya DPOR dihitung dengan perbandingan dividen per share terhadap earning per share. Namun pada penelitian ini, DPOR dihitung dengan perbandingan total dividend terhadap net income perusahaan.  Penelitian dengan judul “Faktor-Faktor Penentu Dalam Pengambilan Kebijakan Pembayaran Dividen Pada Bank Yang Terdaftar </w:t>
      </w:r>
    </w:p>
    <w:p w14:paraId="3717C915" w14:textId="2357D101" w:rsidR="000C0C13" w:rsidRDefault="000C0C13" w:rsidP="009E5B08">
      <w:pPr>
        <w:pStyle w:val="NoSpacing"/>
        <w:spacing w:before="200" w:after="120" w:line="276" w:lineRule="auto"/>
        <w:jc w:val="both"/>
        <w:rPr>
          <w:rFonts w:ascii="Times New Roman" w:eastAsia="Times New Roman" w:hAnsi="Times New Roman" w:cs="Times New Roman"/>
          <w:sz w:val="24"/>
          <w:szCs w:val="24"/>
        </w:rPr>
      </w:pPr>
      <w:r w:rsidRPr="000C0C13">
        <w:rPr>
          <w:rFonts w:ascii="Times New Roman" w:eastAsia="Times New Roman" w:hAnsi="Times New Roman" w:cs="Times New Roman"/>
          <w:sz w:val="24"/>
          <w:szCs w:val="24"/>
        </w:rPr>
        <w:lastRenderedPageBreak/>
        <w:t xml:space="preserve">Di Bursa Efek Indonesia” ini </w:t>
      </w:r>
      <w:proofErr w:type="gramStart"/>
      <w:r w:rsidRPr="000C0C13">
        <w:rPr>
          <w:rFonts w:ascii="Times New Roman" w:eastAsia="Times New Roman" w:hAnsi="Times New Roman" w:cs="Times New Roman"/>
          <w:sz w:val="24"/>
          <w:szCs w:val="24"/>
        </w:rPr>
        <w:t>akan</w:t>
      </w:r>
      <w:proofErr w:type="gramEnd"/>
      <w:r w:rsidRPr="000C0C13">
        <w:rPr>
          <w:rFonts w:ascii="Times New Roman" w:eastAsia="Times New Roman" w:hAnsi="Times New Roman" w:cs="Times New Roman"/>
          <w:sz w:val="24"/>
          <w:szCs w:val="24"/>
        </w:rPr>
        <w:t xml:space="preserve"> dilakukan dengan mengambil subjek perbankan yang terdaftar pada Bursa Efek Indonesia dengan jangka waktu selama 6 tahun (2015-2020).</w:t>
      </w:r>
    </w:p>
    <w:p w14:paraId="59071830" w14:textId="7A557E96" w:rsidR="00CC1CBB" w:rsidRPr="00F52FFB" w:rsidRDefault="00CC1CBB" w:rsidP="009E5B08">
      <w:pPr>
        <w:pStyle w:val="NoSpacing"/>
        <w:spacing w:before="200" w:after="120" w:line="276" w:lineRule="auto"/>
        <w:jc w:val="both"/>
        <w:rPr>
          <w:rFonts w:ascii="Times New Roman" w:hAnsi="Times New Roman" w:cs="Times New Roman"/>
          <w:b/>
          <w:sz w:val="24"/>
          <w:szCs w:val="24"/>
        </w:rPr>
      </w:pPr>
      <w:r w:rsidRPr="00F52FFB">
        <w:rPr>
          <w:rFonts w:ascii="Times New Roman" w:hAnsi="Times New Roman" w:cs="Times New Roman"/>
          <w:b/>
          <w:sz w:val="24"/>
          <w:szCs w:val="24"/>
        </w:rPr>
        <w:t>METODE PENELITIAN</w:t>
      </w:r>
      <w:r w:rsidR="00C7435E">
        <w:rPr>
          <w:rFonts w:ascii="Times New Roman" w:hAnsi="Times New Roman" w:cs="Times New Roman"/>
          <w:b/>
          <w:sz w:val="24"/>
          <w:szCs w:val="24"/>
        </w:rPr>
        <w:t xml:space="preserve"> </w:t>
      </w:r>
    </w:p>
    <w:p w14:paraId="09ACA5C8" w14:textId="4E13C5B7" w:rsidR="00F66C97" w:rsidRDefault="00963E67" w:rsidP="007E6381">
      <w:pPr>
        <w:pStyle w:val="NoSpacing"/>
        <w:spacing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w:t>
      </w:r>
      <w:r w:rsidR="003E7163">
        <w:rPr>
          <w:rFonts w:ascii="Times New Roman" w:hAnsi="Times New Roman" w:cs="Times New Roman"/>
          <w:sz w:val="24"/>
          <w:szCs w:val="24"/>
          <w:lang w:val="id-ID"/>
        </w:rPr>
        <w:t>elitian ini menggunakan pendekatan kuantitatif dengan m</w:t>
      </w:r>
      <w:r w:rsidR="003E7163" w:rsidRPr="003E7163">
        <w:rPr>
          <w:rFonts w:ascii="Times New Roman" w:hAnsi="Times New Roman" w:cs="Times New Roman"/>
          <w:sz w:val="24"/>
          <w:szCs w:val="24"/>
          <w:lang w:val="id-ID"/>
        </w:rPr>
        <w:t xml:space="preserve">etode pengambilan sampel yang digunakan </w:t>
      </w:r>
      <w:r w:rsidR="003E7163">
        <w:rPr>
          <w:rFonts w:ascii="Times New Roman" w:hAnsi="Times New Roman" w:cs="Times New Roman"/>
          <w:sz w:val="24"/>
          <w:szCs w:val="24"/>
          <w:lang w:val="id-ID"/>
        </w:rPr>
        <w:t xml:space="preserve">yaitu </w:t>
      </w:r>
      <w:r w:rsidR="003E7163" w:rsidRPr="003E7163">
        <w:rPr>
          <w:rFonts w:ascii="Times New Roman" w:hAnsi="Times New Roman" w:cs="Times New Roman"/>
          <w:i/>
          <w:sz w:val="24"/>
          <w:szCs w:val="24"/>
          <w:lang w:val="id-ID"/>
        </w:rPr>
        <w:t>purposive sampling</w:t>
      </w:r>
      <w:r w:rsidR="003E7163" w:rsidRPr="003E7163">
        <w:rPr>
          <w:rFonts w:ascii="Times New Roman" w:hAnsi="Times New Roman" w:cs="Times New Roman"/>
          <w:sz w:val="24"/>
          <w:szCs w:val="24"/>
          <w:lang w:val="id-ID"/>
        </w:rPr>
        <w:t xml:space="preserve"> yang dimana sampel </w:t>
      </w:r>
      <w:r w:rsidR="00C911FC" w:rsidRPr="003E7163">
        <w:rPr>
          <w:rFonts w:ascii="Times New Roman" w:hAnsi="Times New Roman" w:cs="Times New Roman"/>
          <w:sz w:val="24"/>
          <w:szCs w:val="24"/>
          <w:lang w:val="id-ID"/>
        </w:rPr>
        <w:t>untuk penelitian ini harus memenuhi kriteria-kriteria yang sudah ditetapkan</w:t>
      </w:r>
      <w:r w:rsidR="00C911FC">
        <w:rPr>
          <w:rFonts w:ascii="Times New Roman" w:hAnsi="Times New Roman" w:cs="Times New Roman"/>
          <w:sz w:val="24"/>
          <w:szCs w:val="24"/>
          <w:lang w:val="id-ID"/>
        </w:rPr>
        <w:t xml:space="preserve">. </w:t>
      </w:r>
      <w:r w:rsidR="00C911FC" w:rsidRPr="00C911FC">
        <w:rPr>
          <w:rFonts w:ascii="Times New Roman" w:hAnsi="Times New Roman" w:cs="Times New Roman"/>
          <w:sz w:val="24"/>
          <w:szCs w:val="24"/>
          <w:lang w:val="id-ID"/>
        </w:rPr>
        <w:t xml:space="preserve">Sampel dalam penelitian ini yaitu perusahaan perbankan yang berjumlah 17 dari 43 populasi perbankan konvensional yang terdaftar di Bursa Efek Indonesia selama jangka waktu 6 tahun (2015-2020). </w:t>
      </w:r>
      <w:r w:rsidR="00C911FC">
        <w:rPr>
          <w:rFonts w:ascii="Times New Roman" w:hAnsi="Times New Roman" w:cs="Times New Roman"/>
          <w:sz w:val="24"/>
          <w:szCs w:val="24"/>
          <w:lang w:val="id-ID"/>
        </w:rPr>
        <w:t xml:space="preserve">Variabel dalam penelitian ini meliputi variabel independen yakni </w:t>
      </w:r>
      <w:r w:rsidR="00C911FC" w:rsidRPr="007E6381">
        <w:rPr>
          <w:rFonts w:ascii="Times New Roman" w:hAnsi="Times New Roman" w:cs="Times New Roman"/>
          <w:i/>
          <w:sz w:val="24"/>
          <w:szCs w:val="24"/>
          <w:lang w:val="id-ID"/>
        </w:rPr>
        <w:t>size, profitability, capital adequacy ratio, growth opportunity, liquidity, credit risk,</w:t>
      </w:r>
      <w:r w:rsidR="00C911FC">
        <w:rPr>
          <w:rFonts w:ascii="Times New Roman" w:hAnsi="Times New Roman" w:cs="Times New Roman"/>
          <w:sz w:val="24"/>
          <w:szCs w:val="24"/>
          <w:lang w:val="id-ID"/>
        </w:rPr>
        <w:t xml:space="preserve"> dan </w:t>
      </w:r>
      <w:r w:rsidR="00C911FC" w:rsidRPr="007E6381">
        <w:rPr>
          <w:rFonts w:ascii="Times New Roman" w:hAnsi="Times New Roman" w:cs="Times New Roman"/>
          <w:i/>
          <w:sz w:val="24"/>
          <w:szCs w:val="24"/>
          <w:lang w:val="id-ID"/>
        </w:rPr>
        <w:t>bank’s age.</w:t>
      </w:r>
      <w:r w:rsidR="00C911FC">
        <w:rPr>
          <w:rFonts w:ascii="Times New Roman" w:hAnsi="Times New Roman" w:cs="Times New Roman"/>
          <w:sz w:val="24"/>
          <w:szCs w:val="24"/>
          <w:lang w:val="id-ID"/>
        </w:rPr>
        <w:t xml:space="preserve"> Beserta variabel dependen yakni kebijakan pembayaran dividen, dan kecenderungan membayar dividen. </w:t>
      </w:r>
      <w:r w:rsidR="00F03B40">
        <w:rPr>
          <w:rFonts w:ascii="Times New Roman" w:hAnsi="Times New Roman" w:cs="Times New Roman"/>
          <w:sz w:val="24"/>
          <w:szCs w:val="24"/>
          <w:lang w:val="id-ID"/>
        </w:rPr>
        <w:t>Metode analisis yang digunakan yaitu analisis regresi tobit dan logit.</w:t>
      </w:r>
    </w:p>
    <w:p w14:paraId="00B89CC1" w14:textId="11CEA621" w:rsidR="00344E4D" w:rsidRDefault="00F03B40" w:rsidP="00F03B40">
      <w:pPr>
        <w:pStyle w:val="NoSpacing"/>
        <w:spacing w:before="200" w:after="120" w:line="276"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14:paraId="7C924800" w14:textId="5E82543A" w:rsidR="00F03B40" w:rsidRDefault="009C4CE5" w:rsidP="003E1C78">
      <w:pPr>
        <w:pStyle w:val="NoSpacing"/>
        <w:spacing w:before="200" w:after="120"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644B8C55" wp14:editId="73943301">
                <wp:simplePos x="0" y="0"/>
                <wp:positionH relativeFrom="column">
                  <wp:posOffset>-833121</wp:posOffset>
                </wp:positionH>
                <wp:positionV relativeFrom="paragraph">
                  <wp:posOffset>360045</wp:posOffset>
                </wp:positionV>
                <wp:extent cx="20859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0859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82B10" w14:textId="2CB2DF8B" w:rsidR="003E1C78" w:rsidRPr="007E6381" w:rsidRDefault="003E1C78">
                            <w:pPr>
                              <w:rPr>
                                <w:rFonts w:ascii="Times New Roman" w:hAnsi="Times New Roman" w:cs="Times New Roman"/>
                                <w:b/>
                                <w:sz w:val="18"/>
                                <w:lang w:val="id-ID"/>
                              </w:rPr>
                            </w:pPr>
                            <w:bookmarkStart w:id="0" w:name="_GoBack"/>
                            <w:r w:rsidRPr="009C4CE5">
                              <w:rPr>
                                <w:rFonts w:ascii="Times New Roman" w:hAnsi="Times New Roman" w:cs="Times New Roman"/>
                                <w:b/>
                                <w:sz w:val="18"/>
                                <w:lang w:val="id-ID"/>
                              </w:rPr>
                              <w:t xml:space="preserve">Tabel 1 Deskriptif Analisis </w:t>
                            </w:r>
                            <w:r w:rsidRPr="007E6381">
                              <w:rPr>
                                <w:rFonts w:ascii="Times New Roman" w:hAnsi="Times New Roman" w:cs="Times New Roman"/>
                                <w:b/>
                                <w:sz w:val="18"/>
                                <w:lang w:val="id-ID"/>
                              </w:rPr>
                              <w:t>St</w:t>
                            </w:r>
                            <w:bookmarkEnd w:id="0"/>
                            <w:r w:rsidRPr="007E6381">
                              <w:rPr>
                                <w:rFonts w:ascii="Times New Roman" w:hAnsi="Times New Roman" w:cs="Times New Roman"/>
                                <w:b/>
                                <w:sz w:val="18"/>
                                <w:lang w:val="id-ID"/>
                              </w:rPr>
                              <w:t>atistik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B8C55" id="_x0000_t202" coordsize="21600,21600" o:spt="202" path="m,l,21600r21600,l21600,xe">
                <v:stroke joinstyle="miter"/>
                <v:path gradientshapeok="t" o:connecttype="rect"/>
              </v:shapetype>
              <v:shape id="Text Box 1" o:spid="_x0000_s1026" type="#_x0000_t202" style="position:absolute;left:0;text-align:left;margin-left:-65.6pt;margin-top:28.35pt;width:164.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" fillcolor="white [3201]" stroked="f" strokeweight=".5pt">
                <v:textbox>
                  <w:txbxContent>
                    <w:p w14:paraId="3E782B10" w14:textId="2CB2DF8B" w:rsidR="003E1C78" w:rsidRPr="007E6381" w:rsidRDefault="003E1C78">
                      <w:pPr>
                        <w:rPr>
                          <w:rFonts w:ascii="Times New Roman" w:hAnsi="Times New Roman" w:cs="Times New Roman"/>
                          <w:b/>
                          <w:sz w:val="18"/>
                          <w:lang w:val="id-ID"/>
                        </w:rPr>
                      </w:pPr>
                      <w:bookmarkStart w:id="1" w:name="_GoBack"/>
                      <w:r w:rsidRPr="009C4CE5">
                        <w:rPr>
                          <w:rFonts w:ascii="Times New Roman" w:hAnsi="Times New Roman" w:cs="Times New Roman"/>
                          <w:b/>
                          <w:sz w:val="18"/>
                          <w:lang w:val="id-ID"/>
                        </w:rPr>
                        <w:t xml:space="preserve">Tabel 1 Deskriptif Analisis </w:t>
                      </w:r>
                      <w:r w:rsidRPr="007E6381">
                        <w:rPr>
                          <w:rFonts w:ascii="Times New Roman" w:hAnsi="Times New Roman" w:cs="Times New Roman"/>
                          <w:b/>
                          <w:sz w:val="18"/>
                          <w:lang w:val="id-ID"/>
                        </w:rPr>
                        <w:t>St</w:t>
                      </w:r>
                      <w:bookmarkEnd w:id="1"/>
                      <w:r w:rsidRPr="007E6381">
                        <w:rPr>
                          <w:rFonts w:ascii="Times New Roman" w:hAnsi="Times New Roman" w:cs="Times New Roman"/>
                          <w:b/>
                          <w:sz w:val="18"/>
                          <w:lang w:val="id-ID"/>
                        </w:rPr>
                        <w:t>atistik</w:t>
                      </w:r>
                    </w:p>
                  </w:txbxContent>
                </v:textbox>
              </v:shape>
            </w:pict>
          </mc:Fallback>
        </mc:AlternateContent>
      </w:r>
      <w:r w:rsidR="00F03B40">
        <w:rPr>
          <w:rFonts w:ascii="Times New Roman" w:eastAsia="Times New Roman" w:hAnsi="Times New Roman" w:cs="Times New Roman"/>
          <w:sz w:val="24"/>
          <w:szCs w:val="24"/>
          <w:lang w:val="id-ID"/>
        </w:rPr>
        <w:t>Deskriptif Analisis Statisti</w:t>
      </w:r>
      <w:r w:rsidR="003E1C78">
        <w:rPr>
          <w:rFonts w:ascii="Times New Roman" w:eastAsia="Times New Roman" w:hAnsi="Times New Roman" w:cs="Times New Roman"/>
          <w:sz w:val="24"/>
          <w:szCs w:val="24"/>
          <w:lang w:val="id-ID"/>
        </w:rPr>
        <w:t>k</w:t>
      </w:r>
    </w:p>
    <w:p w14:paraId="6794D418" w14:textId="4D9D9658" w:rsidR="007E6381" w:rsidRDefault="007E6381" w:rsidP="003E1C78">
      <w:pPr>
        <w:pStyle w:val="NoSpacing"/>
        <w:spacing w:before="200" w:after="120"/>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1FDBBCF2" wp14:editId="6484AE79">
                <wp:simplePos x="0" y="0"/>
                <wp:positionH relativeFrom="column">
                  <wp:posOffset>-3143250</wp:posOffset>
                </wp:positionH>
                <wp:positionV relativeFrom="paragraph">
                  <wp:posOffset>2276475</wp:posOffset>
                </wp:positionV>
                <wp:extent cx="2371725" cy="247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371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58D28" w14:textId="77777777" w:rsidR="007E6381" w:rsidRPr="003E1C78" w:rsidRDefault="007E6381" w:rsidP="007E6381">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BBCF2" id="Text Box 8" o:spid="_x0000_s1027" type="#_x0000_t202" style="position:absolute;left:0;text-align:left;margin-left:-247.5pt;margin-top:179.25pt;width:186.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" fillcolor="white [3201]" stroked="f" strokeweight=".5pt">
                <v:textbox>
                  <w:txbxContent>
                    <w:p w14:paraId="71C58D28" w14:textId="77777777" w:rsidR="007E6381" w:rsidRPr="003E1C78" w:rsidRDefault="007E6381" w:rsidP="007E6381">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v:textbox>
              </v:shape>
            </w:pict>
          </mc:Fallback>
        </mc:AlternateContent>
      </w:r>
    </w:p>
    <w:p w14:paraId="1394023A" w14:textId="0BFB4343" w:rsidR="007E6381" w:rsidRDefault="007E6381" w:rsidP="007E6381">
      <w:pPr>
        <w:pStyle w:val="NoSpacing"/>
        <w:spacing w:before="200" w:after="120"/>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lastRenderedPageBreak/>
        <mc:AlternateContent>
          <mc:Choice Requires="wps">
            <w:drawing>
              <wp:anchor distT="0" distB="0" distL="114300" distR="114300" simplePos="0" relativeHeight="251661312" behindDoc="0" locked="0" layoutInCell="1" allowOverlap="1" wp14:anchorId="3458BCF4" wp14:editId="006A8763">
                <wp:simplePos x="0" y="0"/>
                <wp:positionH relativeFrom="column">
                  <wp:posOffset>-3105150</wp:posOffset>
                </wp:positionH>
                <wp:positionV relativeFrom="paragraph">
                  <wp:posOffset>2648585</wp:posOffset>
                </wp:positionV>
                <wp:extent cx="2371725" cy="2476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71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C6697" w14:textId="327F7B29" w:rsidR="003E1C78" w:rsidRPr="003E1C78" w:rsidRDefault="003E1C78" w:rsidP="003E1C78">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8BCF4" id="Text Box 3" o:spid="_x0000_s1028" type="#_x0000_t202" style="position:absolute;left:0;text-align:left;margin-left:-244.5pt;margin-top:208.55pt;width:186.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" fillcolor="white [3201]" stroked="f" strokeweight=".5pt">
                <v:textbox>
                  <w:txbxContent>
                    <w:p w14:paraId="5E1C6697" w14:textId="327F7B29" w:rsidR="003E1C78" w:rsidRPr="003E1C78" w:rsidRDefault="003E1C78" w:rsidP="003E1C78">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v:textbox>
              </v:shape>
            </w:pict>
          </mc:Fallback>
        </mc:AlternateContent>
      </w:r>
      <w:r w:rsidR="003E1C78" w:rsidRPr="003E1C78">
        <w:rPr>
          <w:rFonts w:ascii="Times New Roman" w:eastAsia="Times New Roman" w:hAnsi="Times New Roman" w:cs="Times New Roman"/>
          <w:sz w:val="24"/>
          <w:szCs w:val="24"/>
          <w:lang w:val="id-ID"/>
        </w:rPr>
        <w:t xml:space="preserve">Berdasarkan data statistik </w:t>
      </w:r>
      <w:r w:rsidR="00E46FC5">
        <w:rPr>
          <w:rFonts w:ascii="Times New Roman" w:eastAsia="Times New Roman" w:hAnsi="Times New Roman" w:cs="Times New Roman"/>
          <w:sz w:val="24"/>
          <w:szCs w:val="24"/>
          <w:lang w:val="id-ID"/>
        </w:rPr>
        <w:t>pada tabel 1</w:t>
      </w:r>
      <w:r w:rsidR="003E1C78" w:rsidRPr="003E1C78">
        <w:rPr>
          <w:rFonts w:ascii="Times New Roman" w:eastAsia="Times New Roman" w:hAnsi="Times New Roman" w:cs="Times New Roman"/>
          <w:sz w:val="24"/>
          <w:szCs w:val="24"/>
          <w:lang w:val="id-ID"/>
        </w:rPr>
        <w:t>, maka dapat dii</w:t>
      </w:r>
      <w:r>
        <w:rPr>
          <w:rFonts w:ascii="Times New Roman" w:eastAsia="Times New Roman" w:hAnsi="Times New Roman" w:cs="Times New Roman"/>
          <w:sz w:val="24"/>
          <w:szCs w:val="24"/>
          <w:lang w:val="id-ID"/>
        </w:rPr>
        <w:t>nterpretasikan sebagai berikut:</w:t>
      </w:r>
    </w:p>
    <w:p w14:paraId="32366B48" w14:textId="415006F4" w:rsidR="00E46FC5" w:rsidRDefault="003E1C78" w:rsidP="007E6381">
      <w:pPr>
        <w:pStyle w:val="NoSpacing"/>
        <w:spacing w:before="200" w:after="120" w:line="276" w:lineRule="auto"/>
        <w:ind w:firstLine="720"/>
        <w:jc w:val="both"/>
        <w:rPr>
          <w:rFonts w:ascii="Times New Roman" w:eastAsia="Times New Roman" w:hAnsi="Times New Roman" w:cs="Times New Roman"/>
          <w:sz w:val="24"/>
          <w:szCs w:val="24"/>
          <w:lang w:val="id-ID"/>
        </w:rPr>
      </w:pPr>
      <w:r w:rsidRPr="003E1C78">
        <w:rPr>
          <w:rFonts w:ascii="Times New Roman" w:eastAsia="Times New Roman" w:hAnsi="Times New Roman" w:cs="Times New Roman"/>
          <w:sz w:val="24"/>
          <w:szCs w:val="24"/>
          <w:lang w:val="id-ID"/>
        </w:rPr>
        <w:t>Dari hasil perhitungan yang telah dilakukan bahwa kebijakan pembayaran dividen</w:t>
      </w:r>
      <w:r w:rsidR="00E46FC5">
        <w:rPr>
          <w:rFonts w:ascii="Times New Roman" w:eastAsia="Times New Roman" w:hAnsi="Times New Roman" w:cs="Times New Roman"/>
          <w:sz w:val="24"/>
          <w:szCs w:val="24"/>
          <w:lang w:val="id-ID"/>
        </w:rPr>
        <w:t xml:space="preserve"> (DPOR)</w:t>
      </w:r>
      <w:r w:rsidRPr="003E1C78">
        <w:rPr>
          <w:rFonts w:ascii="Times New Roman" w:eastAsia="Times New Roman" w:hAnsi="Times New Roman" w:cs="Times New Roman"/>
          <w:sz w:val="24"/>
          <w:szCs w:val="24"/>
          <w:lang w:val="id-ID"/>
        </w:rPr>
        <w:t xml:space="preserve"> memiliki nilai rata-rata sebesar 0.313154 dengan standar deviasi 0.373692. Nilai maksimum kebijakan pembayaran dividen sebesar 2.683633 dimiliki oleh Bank Tabungan Negara pada tahun 2019 dan nilai minimum sebesar -0.04207 dimiliki oleh Bank Neo Commerce.</w:t>
      </w:r>
    </w:p>
    <w:p w14:paraId="71E66DEA" w14:textId="24D8CB0C"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sz w:val="24"/>
          <w:szCs w:val="24"/>
          <w:lang w:val="id-ID"/>
        </w:rPr>
        <w:t>Pembayaran dividen</w:t>
      </w:r>
      <w:r>
        <w:rPr>
          <w:rFonts w:ascii="Times New Roman" w:eastAsia="Times New Roman" w:hAnsi="Times New Roman" w:cs="Times New Roman"/>
          <w:sz w:val="24"/>
          <w:szCs w:val="24"/>
          <w:lang w:val="id-ID"/>
        </w:rPr>
        <w:t xml:space="preserve"> (PAYDIV)</w:t>
      </w:r>
      <w:r w:rsidRPr="00E46FC5">
        <w:rPr>
          <w:rFonts w:ascii="Times New Roman" w:eastAsia="Times New Roman" w:hAnsi="Times New Roman" w:cs="Times New Roman"/>
          <w:sz w:val="24"/>
          <w:szCs w:val="24"/>
          <w:lang w:val="id-ID"/>
        </w:rPr>
        <w:t xml:space="preserve"> memiliki nilai rata-rata sebesar 0.813725 dengan standar deviasi 0.391251. Nilai maksimum pembayaran dividen sebesar 1.0000 dan nilai minimum sebesar 0.000000.</w:t>
      </w:r>
    </w:p>
    <w:p w14:paraId="25AAFD75" w14:textId="781CA0D2"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i/>
          <w:sz w:val="24"/>
          <w:szCs w:val="24"/>
          <w:lang w:val="id-ID"/>
        </w:rPr>
        <w:t>Bank size</w:t>
      </w:r>
      <w:r>
        <w:rPr>
          <w:rFonts w:ascii="Times New Roman" w:eastAsia="Times New Roman" w:hAnsi="Times New Roman" w:cs="Times New Roman"/>
          <w:sz w:val="24"/>
          <w:szCs w:val="24"/>
          <w:lang w:val="id-ID"/>
        </w:rPr>
        <w:t xml:space="preserve"> (BS)</w:t>
      </w:r>
      <w:r w:rsidRPr="00E46FC5">
        <w:rPr>
          <w:rFonts w:ascii="Times New Roman" w:eastAsia="Times New Roman" w:hAnsi="Times New Roman" w:cs="Times New Roman"/>
          <w:sz w:val="24"/>
          <w:szCs w:val="24"/>
          <w:lang w:val="id-ID"/>
        </w:rPr>
        <w:t xml:space="preserve"> memiliki nilai rata-rata sebesar 20.07877 dengan standar deviasi sebesar 4.735228. Nilai maksimum ukuran bank sebesar 30.28142 dimiliki oleh Bank Danamon pada tahun 2020 dan nilai minimum sebesar 7.947911 dimiliki oleh Bank Pembangunan Daerah Jawa Barat dan Banten.</w:t>
      </w:r>
    </w:p>
    <w:p w14:paraId="023A7C9F" w14:textId="5EC6B81F"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i/>
          <w:sz w:val="24"/>
          <w:szCs w:val="24"/>
          <w:lang w:val="id-ID"/>
        </w:rPr>
        <w:t>Profitability</w:t>
      </w:r>
      <w:r>
        <w:rPr>
          <w:rFonts w:ascii="Times New Roman" w:eastAsia="Times New Roman" w:hAnsi="Times New Roman" w:cs="Times New Roman"/>
          <w:sz w:val="24"/>
          <w:szCs w:val="24"/>
          <w:lang w:val="id-ID"/>
        </w:rPr>
        <w:t xml:space="preserve"> (ROE)</w:t>
      </w:r>
      <w:r w:rsidRPr="00E46FC5">
        <w:rPr>
          <w:rFonts w:ascii="Times New Roman" w:eastAsia="Times New Roman" w:hAnsi="Times New Roman" w:cs="Times New Roman"/>
          <w:sz w:val="24"/>
          <w:szCs w:val="24"/>
          <w:lang w:val="id-ID"/>
        </w:rPr>
        <w:t xml:space="preserve"> memiliki nilai rata-rata sebesar 0.089023 dengan standar deviasi sebesar 0.073440. Nilai maksimum pengembalian atas aset sebesar 0.224621 dimiliki oleh Bank Rakyat Indonesia pada tahun 2015 dan nilai minimum sebesar -0.33609 dimiliki oleh Bank Permata pada tahun 2016.</w:t>
      </w:r>
    </w:p>
    <w:p w14:paraId="6C5844BE" w14:textId="64CB3CFE"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i/>
          <w:sz w:val="24"/>
          <w:szCs w:val="24"/>
          <w:lang w:val="id-ID"/>
        </w:rPr>
        <w:t>Capital adequacy ratio</w:t>
      </w:r>
      <w:r>
        <w:rPr>
          <w:rFonts w:ascii="Times New Roman" w:eastAsia="Times New Roman" w:hAnsi="Times New Roman" w:cs="Times New Roman"/>
          <w:sz w:val="24"/>
          <w:szCs w:val="24"/>
          <w:lang w:val="id-ID"/>
        </w:rPr>
        <w:t xml:space="preserve"> (E_TA)</w:t>
      </w:r>
      <w:r w:rsidRPr="00E46FC5">
        <w:rPr>
          <w:rFonts w:ascii="Times New Roman" w:eastAsia="Times New Roman" w:hAnsi="Times New Roman" w:cs="Times New Roman"/>
          <w:sz w:val="24"/>
          <w:szCs w:val="24"/>
          <w:lang w:val="id-ID"/>
        </w:rPr>
        <w:t xml:space="preserve"> memiliki nilai rata-rata sebesar 0.169897 dengan standar deviasi sebesar 0.105007. Nilai maksimum rasio kecukupan modal sebesar 0.2831445 dimiliki oleh Bank </w:t>
      </w:r>
      <w:r w:rsidRPr="00E46FC5">
        <w:rPr>
          <w:rFonts w:ascii="Times New Roman" w:eastAsia="Times New Roman" w:hAnsi="Times New Roman" w:cs="Times New Roman"/>
          <w:sz w:val="24"/>
          <w:szCs w:val="24"/>
          <w:lang w:val="id-ID"/>
        </w:rPr>
        <w:lastRenderedPageBreak/>
        <w:t>Permata pada tahun 2020 dan nilai minimum sebesar 0.055336 dimiliki oleh Bank Tabungan Negara pada tahun 2020.</w:t>
      </w:r>
    </w:p>
    <w:p w14:paraId="2ED1A9A7" w14:textId="26EC62A4"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i/>
          <w:sz w:val="24"/>
          <w:szCs w:val="24"/>
          <w:lang w:val="id-ID"/>
        </w:rPr>
        <w:t>Growth</w:t>
      </w:r>
      <w:r>
        <w:rPr>
          <w:rFonts w:ascii="Times New Roman" w:eastAsia="Times New Roman" w:hAnsi="Times New Roman" w:cs="Times New Roman"/>
          <w:sz w:val="24"/>
          <w:szCs w:val="24"/>
          <w:lang w:val="id-ID"/>
        </w:rPr>
        <w:t xml:space="preserve"> (GTA)</w:t>
      </w:r>
      <w:r w:rsidRPr="00E46FC5">
        <w:rPr>
          <w:rFonts w:ascii="Times New Roman" w:eastAsia="Times New Roman" w:hAnsi="Times New Roman" w:cs="Times New Roman"/>
          <w:sz w:val="24"/>
          <w:szCs w:val="24"/>
          <w:lang w:val="id-ID"/>
        </w:rPr>
        <w:t xml:space="preserve"> memiliki nilai rata-rata sebesar 0.220839 dengan standar deviasi sebesar 1.15163. Nilai maksimum pertumbuhan sebesar 11.69486 dimiliki oleh Bank Neo Commerce pada tahun 2015 dan nilai minimum sebesar -0.13411 dimiliki oleh Bank Permata pada tahun 2017.</w:t>
      </w:r>
    </w:p>
    <w:p w14:paraId="178215B6" w14:textId="17F2BE6C"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i/>
          <w:sz w:val="24"/>
          <w:szCs w:val="24"/>
          <w:lang w:val="id-ID"/>
        </w:rPr>
        <w:t>Liquidity</w:t>
      </w:r>
      <w:r>
        <w:rPr>
          <w:rFonts w:ascii="Times New Roman" w:eastAsia="Times New Roman" w:hAnsi="Times New Roman" w:cs="Times New Roman"/>
          <w:sz w:val="24"/>
          <w:szCs w:val="24"/>
          <w:lang w:val="id-ID"/>
        </w:rPr>
        <w:t xml:space="preserve"> (NL_TA) memiliki nilai rata-rata sebesar </w:t>
      </w:r>
      <w:r w:rsidRPr="00E46FC5">
        <w:rPr>
          <w:rFonts w:ascii="Times New Roman" w:eastAsia="Times New Roman" w:hAnsi="Times New Roman" w:cs="Times New Roman"/>
          <w:sz w:val="24"/>
          <w:szCs w:val="24"/>
          <w:lang w:val="id-ID"/>
        </w:rPr>
        <w:t>0.636667 dengan standar deviasi sebesar 0.117743. Nilai maksimum likuiditas sebesar 1.479275 dimiliki oleh Bank Central Asia pada tahun 2020 dan nilai minimum sebesar 0.393846 dimiliki oleh Bank Mega pada tahun 2016.</w:t>
      </w:r>
    </w:p>
    <w:p w14:paraId="7E26F189" w14:textId="2E8F33ED"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Credit risk (CR)</w:t>
      </w:r>
      <w:r w:rsidRPr="00E46FC5">
        <w:rPr>
          <w:rFonts w:ascii="Times New Roman" w:eastAsia="Times New Roman" w:hAnsi="Times New Roman" w:cs="Times New Roman"/>
          <w:sz w:val="24"/>
          <w:szCs w:val="24"/>
          <w:lang w:val="id-ID"/>
        </w:rPr>
        <w:t xml:space="preserve"> memiliki nilai rata-rata sebesar 0.030668 dengan standar deviasi sebesar 0.021431. Nilai maksimum rasio kredit sebesar 0.108978 dimiliki oleh Bank Permata pada tahun 2016 dan nilai minimum sebesar 0.000570 dimiliki oleh Bank Maspion pada tahun 2015.</w:t>
      </w:r>
    </w:p>
    <w:p w14:paraId="46C7E310" w14:textId="3D74DB3F" w:rsidR="00E46FC5"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i/>
          <w:sz w:val="24"/>
          <w:szCs w:val="24"/>
          <w:lang w:val="id-ID"/>
        </w:rPr>
        <w:t>Bank’s age</w:t>
      </w:r>
      <w:r>
        <w:rPr>
          <w:rFonts w:ascii="Times New Roman" w:eastAsia="Times New Roman" w:hAnsi="Times New Roman" w:cs="Times New Roman"/>
          <w:sz w:val="24"/>
          <w:szCs w:val="24"/>
          <w:lang w:val="id-ID"/>
        </w:rPr>
        <w:t xml:space="preserve"> (AGE)</w:t>
      </w:r>
      <w:r w:rsidRPr="00E46FC5">
        <w:rPr>
          <w:rFonts w:ascii="Times New Roman" w:eastAsia="Times New Roman" w:hAnsi="Times New Roman" w:cs="Times New Roman"/>
          <w:sz w:val="24"/>
          <w:szCs w:val="24"/>
          <w:lang w:val="id-ID"/>
        </w:rPr>
        <w:t xml:space="preserve"> memiliki nilai rata-rata sebesar 4.079211 dengan standar deviasi sebesar 0.454847. Nilai maksimum umur bank sebesar 4.836282 dimiliki oleh Bank Rakyat Indonesia pada tahun 2020 dan nilai minimum sebesar 2.833213 dimiliki oleh Bank Mandiri pada tahun 2015.</w:t>
      </w:r>
    </w:p>
    <w:p w14:paraId="6DF8A658" w14:textId="63CCBB42" w:rsidR="00E46FC5" w:rsidRDefault="00E46FC5" w:rsidP="00E46FC5">
      <w:pPr>
        <w:pStyle w:val="NoSpacing"/>
        <w:spacing w:before="200" w:after="12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PEMBAHASAN PENELITIAN</w:t>
      </w:r>
    </w:p>
    <w:p w14:paraId="0AFAD597" w14:textId="6F3467C1" w:rsidR="00E46FC5" w:rsidRDefault="00E46FC5" w:rsidP="00E46FC5">
      <w:pPr>
        <w:pStyle w:val="NoSpacing"/>
        <w:spacing w:before="200" w:after="120"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Uji T </w:t>
      </w:r>
    </w:p>
    <w:p w14:paraId="388E65C1" w14:textId="029ABD8B" w:rsidR="003C3544" w:rsidRDefault="00E46FC5" w:rsidP="00E46FC5">
      <w:pPr>
        <w:pStyle w:val="NoSpacing"/>
        <w:spacing w:before="200" w:after="120" w:line="276"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Regresi Tobit pada tabel 2 </w:t>
      </w:r>
      <w:r w:rsidRPr="00E46FC5">
        <w:rPr>
          <w:rFonts w:ascii="Times New Roman" w:eastAsia="Times New Roman" w:hAnsi="Times New Roman" w:cs="Times New Roman"/>
          <w:sz w:val="24"/>
          <w:szCs w:val="24"/>
          <w:lang w:val="id-ID"/>
        </w:rPr>
        <w:t xml:space="preserve">digunakan untuk menggambarkan hubungan antara variabel dependen dan </w:t>
      </w:r>
    </w:p>
    <w:p w14:paraId="242891CC" w14:textId="04AE5942" w:rsidR="003C3544" w:rsidRDefault="003C3544" w:rsidP="003C3544">
      <w:pPr>
        <w:pStyle w:val="NoSpacing"/>
        <w:spacing w:before="200" w:after="120"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lastRenderedPageBreak/>
        <mc:AlternateContent>
          <mc:Choice Requires="wps">
            <w:drawing>
              <wp:anchor distT="0" distB="0" distL="114300" distR="114300" simplePos="0" relativeHeight="251663360" behindDoc="0" locked="0" layoutInCell="1" allowOverlap="1" wp14:anchorId="4587EBA9" wp14:editId="1A8C3656">
                <wp:simplePos x="0" y="0"/>
                <wp:positionH relativeFrom="column">
                  <wp:posOffset>2143125</wp:posOffset>
                </wp:positionH>
                <wp:positionV relativeFrom="paragraph">
                  <wp:posOffset>-105410</wp:posOffset>
                </wp:positionV>
                <wp:extent cx="2371725" cy="2476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371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50C38" w14:textId="309E2868" w:rsidR="00845B5F" w:rsidRPr="003E1C78" w:rsidRDefault="00845B5F" w:rsidP="00845B5F">
                            <w:pPr>
                              <w:rPr>
                                <w:rFonts w:ascii="Times New Roman" w:hAnsi="Times New Roman" w:cs="Times New Roman"/>
                                <w:b/>
                                <w:sz w:val="20"/>
                                <w:lang w:val="id-ID"/>
                              </w:rPr>
                            </w:pPr>
                            <w:r w:rsidRPr="003E1C78">
                              <w:rPr>
                                <w:rFonts w:ascii="Times New Roman" w:hAnsi="Times New Roman" w:cs="Times New Roman"/>
                                <w:b/>
                                <w:sz w:val="20"/>
                                <w:lang w:val="id-ID"/>
                              </w:rPr>
                              <w:t xml:space="preserve">Tabel </w:t>
                            </w:r>
                            <w:r>
                              <w:rPr>
                                <w:rFonts w:ascii="Times New Roman" w:hAnsi="Times New Roman" w:cs="Times New Roman"/>
                                <w:b/>
                                <w:sz w:val="20"/>
                                <w:lang w:val="id-ID"/>
                              </w:rPr>
                              <w:t>2 Hasil Uji Regresi Tobit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7EBA9" id="Text Box 4" o:spid="_x0000_s1029" type="#_x0000_t202" style="position:absolute;left:0;text-align:left;margin-left:168.75pt;margin-top:-8.3pt;width:18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" fillcolor="white [3201]" stroked="f" strokeweight=".5pt">
                <v:textbox>
                  <w:txbxContent>
                    <w:p w14:paraId="00050C38" w14:textId="309E2868" w:rsidR="00845B5F" w:rsidRPr="003E1C78" w:rsidRDefault="00845B5F" w:rsidP="00845B5F">
                      <w:pPr>
                        <w:rPr>
                          <w:rFonts w:ascii="Times New Roman" w:hAnsi="Times New Roman" w:cs="Times New Roman"/>
                          <w:b/>
                          <w:sz w:val="20"/>
                          <w:lang w:val="id-ID"/>
                        </w:rPr>
                      </w:pPr>
                      <w:r w:rsidRPr="003E1C78">
                        <w:rPr>
                          <w:rFonts w:ascii="Times New Roman" w:hAnsi="Times New Roman" w:cs="Times New Roman"/>
                          <w:b/>
                          <w:sz w:val="20"/>
                          <w:lang w:val="id-ID"/>
                        </w:rPr>
                        <w:t xml:space="preserve">Tabel </w:t>
                      </w:r>
                      <w:r>
                        <w:rPr>
                          <w:rFonts w:ascii="Times New Roman" w:hAnsi="Times New Roman" w:cs="Times New Roman"/>
                          <w:b/>
                          <w:sz w:val="20"/>
                          <w:lang w:val="id-ID"/>
                        </w:rPr>
                        <w:t>2 Hasil Uji Regresi Tobit</w:t>
                      </w:r>
                    </w:p>
                  </w:txbxContent>
                </v:textbox>
              </v:shape>
            </w:pict>
          </mc:Fallback>
        </mc:AlternateContent>
      </w:r>
    </w:p>
    <w:p w14:paraId="436E0F95" w14:textId="41993A25" w:rsidR="003C3544" w:rsidRDefault="003C3544" w:rsidP="003C3544">
      <w:pPr>
        <w:pStyle w:val="NoSpacing"/>
        <w:spacing w:before="200" w:after="120"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62422734" wp14:editId="33AF2CA1">
                <wp:simplePos x="0" y="0"/>
                <wp:positionH relativeFrom="column">
                  <wp:posOffset>2200275</wp:posOffset>
                </wp:positionH>
                <wp:positionV relativeFrom="paragraph">
                  <wp:posOffset>1948180</wp:posOffset>
                </wp:positionV>
                <wp:extent cx="2371725" cy="2476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371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DA6B1" w14:textId="04E01385" w:rsidR="003C3544" w:rsidRPr="003E1C78" w:rsidRDefault="003C3544" w:rsidP="003C3544">
                            <w:pPr>
                              <w:rPr>
                                <w:rFonts w:ascii="Times New Roman" w:hAnsi="Times New Roman" w:cs="Times New Roman"/>
                                <w:b/>
                                <w:sz w:val="20"/>
                                <w:lang w:val="id-ID"/>
                              </w:rPr>
                            </w:pPr>
                            <w:r w:rsidRPr="003E1C78">
                              <w:rPr>
                                <w:rFonts w:ascii="Times New Roman" w:hAnsi="Times New Roman" w:cs="Times New Roman"/>
                                <w:b/>
                                <w:sz w:val="20"/>
                                <w:lang w:val="id-ID"/>
                              </w:rPr>
                              <w:t xml:space="preserve">Tabel </w:t>
                            </w:r>
                            <w:r>
                              <w:rPr>
                                <w:rFonts w:ascii="Times New Roman" w:hAnsi="Times New Roman" w:cs="Times New Roman"/>
                                <w:b/>
                                <w:sz w:val="20"/>
                                <w:lang w:val="id-ID"/>
                              </w:rPr>
                              <w:t>3 Hasil Uji Regresi Logit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2734" id="Text Box 9" o:spid="_x0000_s1030" type="#_x0000_t202" style="position:absolute;left:0;text-align:left;margin-left:173.25pt;margin-top:153.4pt;width:186.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" fillcolor="white [3201]" stroked="f" strokeweight=".5pt">
                <v:textbox>
                  <w:txbxContent>
                    <w:p w14:paraId="22FDA6B1" w14:textId="04E01385" w:rsidR="003C3544" w:rsidRPr="003E1C78" w:rsidRDefault="003C3544" w:rsidP="003C3544">
                      <w:pPr>
                        <w:rPr>
                          <w:rFonts w:ascii="Times New Roman" w:hAnsi="Times New Roman" w:cs="Times New Roman"/>
                          <w:b/>
                          <w:sz w:val="20"/>
                          <w:lang w:val="id-ID"/>
                        </w:rPr>
                      </w:pPr>
                      <w:r w:rsidRPr="003E1C78">
                        <w:rPr>
                          <w:rFonts w:ascii="Times New Roman" w:hAnsi="Times New Roman" w:cs="Times New Roman"/>
                          <w:b/>
                          <w:sz w:val="20"/>
                          <w:lang w:val="id-ID"/>
                        </w:rPr>
                        <w:t xml:space="preserve">Tabel </w:t>
                      </w:r>
                      <w:r>
                        <w:rPr>
                          <w:rFonts w:ascii="Times New Roman" w:hAnsi="Times New Roman" w:cs="Times New Roman"/>
                          <w:b/>
                          <w:sz w:val="20"/>
                          <w:lang w:val="id-ID"/>
                        </w:rPr>
                        <w:t>3 Hasil Uji Regresi Logit</w:t>
                      </w:r>
                    </w:p>
                  </w:txbxContent>
                </v:textbox>
              </v:shape>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2B450F29" wp14:editId="3C057758">
                <wp:simplePos x="0" y="0"/>
                <wp:positionH relativeFrom="column">
                  <wp:posOffset>0</wp:posOffset>
                </wp:positionH>
                <wp:positionV relativeFrom="paragraph">
                  <wp:posOffset>1826260</wp:posOffset>
                </wp:positionV>
                <wp:extent cx="2371725" cy="2476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371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72D94" w14:textId="77777777" w:rsidR="00845B5F" w:rsidRPr="003E1C78" w:rsidRDefault="00845B5F" w:rsidP="00845B5F">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50F29" id="Text Box 6" o:spid="_x0000_s1031" type="#_x0000_t202" style="position:absolute;left:0;text-align:left;margin-left:0;margin-top:143.8pt;width:186.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" fillcolor="white [3201]" stroked="f" strokeweight=".5pt">
                <v:textbox>
                  <w:txbxContent>
                    <w:p w14:paraId="2B172D94" w14:textId="77777777" w:rsidR="00845B5F" w:rsidRPr="003E1C78" w:rsidRDefault="00845B5F" w:rsidP="00845B5F">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v:textbox>
              </v:shape>
            </w:pict>
          </mc:Fallback>
        </mc:AlternateContent>
      </w:r>
    </w:p>
    <w:tbl>
      <w:tblPr>
        <w:tblpPr w:leftFromText="180" w:rightFromText="180" w:vertAnchor="text" w:horzAnchor="margin" w:tblpY="189"/>
        <w:tblW w:w="9320" w:type="dxa"/>
        <w:tblLook w:val="04A0" w:firstRow="1" w:lastRow="0" w:firstColumn="1" w:lastColumn="0" w:noHBand="0" w:noVBand="1"/>
      </w:tblPr>
      <w:tblGrid>
        <w:gridCol w:w="1960"/>
        <w:gridCol w:w="4280"/>
        <w:gridCol w:w="1300"/>
        <w:gridCol w:w="1780"/>
      </w:tblGrid>
      <w:tr w:rsidR="003C3544" w:rsidRPr="00A76E61" w14:paraId="7D4A4D65" w14:textId="77777777" w:rsidTr="003C3544">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47F25" w14:textId="77777777" w:rsidR="003C3544" w:rsidRPr="00A76E61" w:rsidRDefault="003C3544" w:rsidP="003C3544">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Variabel Independen</w:t>
            </w:r>
          </w:p>
        </w:tc>
        <w:tc>
          <w:tcPr>
            <w:tcW w:w="73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DE82BD" w14:textId="77777777" w:rsidR="003C3544" w:rsidRPr="00A76E61" w:rsidRDefault="003C3544" w:rsidP="003C3544">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Variabel Dependen</w:t>
            </w:r>
          </w:p>
        </w:tc>
      </w:tr>
      <w:tr w:rsidR="003C3544" w:rsidRPr="00A76E61" w14:paraId="135B280C" w14:textId="77777777" w:rsidTr="003C3544">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688197F" w14:textId="77777777" w:rsidR="003C3544" w:rsidRPr="00A76E61" w:rsidRDefault="003C3544" w:rsidP="003C3544">
            <w:pPr>
              <w:spacing w:after="0" w:line="240" w:lineRule="auto"/>
              <w:rPr>
                <w:rFonts w:ascii="Times New Roman" w:eastAsia="Times New Roman" w:hAnsi="Times New Roman" w:cs="Times New Roman"/>
                <w:b/>
                <w:bCs/>
                <w:color w:val="000000"/>
                <w:sz w:val="20"/>
                <w:szCs w:val="20"/>
                <w:lang w:val="id-ID" w:eastAsia="id-ID"/>
              </w:rPr>
            </w:pPr>
          </w:p>
        </w:tc>
        <w:tc>
          <w:tcPr>
            <w:tcW w:w="73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46F613" w14:textId="77777777" w:rsidR="003C3544" w:rsidRPr="00A76E61" w:rsidRDefault="003C3544" w:rsidP="003C3544">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PAYDIV</w:t>
            </w:r>
          </w:p>
        </w:tc>
      </w:tr>
      <w:tr w:rsidR="003C3544" w:rsidRPr="00A76E61" w14:paraId="3C5824AD" w14:textId="77777777" w:rsidTr="003C3544">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2B1C127A" w14:textId="77777777" w:rsidR="003C3544" w:rsidRPr="00A76E61" w:rsidRDefault="003C3544" w:rsidP="003C3544">
            <w:pPr>
              <w:spacing w:after="0" w:line="240" w:lineRule="auto"/>
              <w:rPr>
                <w:rFonts w:ascii="Times New Roman" w:eastAsia="Times New Roman" w:hAnsi="Times New Roman" w:cs="Times New Roman"/>
                <w:b/>
                <w:bCs/>
                <w:color w:val="000000"/>
                <w:sz w:val="20"/>
                <w:szCs w:val="20"/>
                <w:lang w:val="id-ID" w:eastAsia="id-ID"/>
              </w:rPr>
            </w:pPr>
          </w:p>
        </w:tc>
        <w:tc>
          <w:tcPr>
            <w:tcW w:w="4280" w:type="dxa"/>
            <w:tcBorders>
              <w:top w:val="nil"/>
              <w:left w:val="nil"/>
              <w:bottom w:val="single" w:sz="4" w:space="0" w:color="auto"/>
              <w:right w:val="single" w:sz="4" w:space="0" w:color="auto"/>
            </w:tcBorders>
            <w:shd w:val="clear" w:color="auto" w:fill="auto"/>
            <w:noWrap/>
            <w:vAlign w:val="center"/>
            <w:hideMark/>
          </w:tcPr>
          <w:p w14:paraId="6EFD9C0C" w14:textId="77777777" w:rsidR="003C3544" w:rsidRPr="00A76E61" w:rsidRDefault="003C3544" w:rsidP="003C3544">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Koefisien</w:t>
            </w:r>
          </w:p>
        </w:tc>
        <w:tc>
          <w:tcPr>
            <w:tcW w:w="1300" w:type="dxa"/>
            <w:tcBorders>
              <w:top w:val="nil"/>
              <w:left w:val="nil"/>
              <w:bottom w:val="single" w:sz="4" w:space="0" w:color="auto"/>
              <w:right w:val="single" w:sz="4" w:space="0" w:color="auto"/>
            </w:tcBorders>
            <w:shd w:val="clear" w:color="auto" w:fill="auto"/>
            <w:noWrap/>
            <w:vAlign w:val="center"/>
            <w:hideMark/>
          </w:tcPr>
          <w:p w14:paraId="12586E60" w14:textId="77777777" w:rsidR="003C3544" w:rsidRPr="00A76E61" w:rsidRDefault="003C3544" w:rsidP="003C3544">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Probabilitas</w:t>
            </w:r>
          </w:p>
        </w:tc>
        <w:tc>
          <w:tcPr>
            <w:tcW w:w="1780" w:type="dxa"/>
            <w:tcBorders>
              <w:top w:val="nil"/>
              <w:left w:val="nil"/>
              <w:bottom w:val="single" w:sz="4" w:space="0" w:color="auto"/>
              <w:right w:val="single" w:sz="4" w:space="0" w:color="auto"/>
            </w:tcBorders>
            <w:shd w:val="clear" w:color="auto" w:fill="auto"/>
            <w:noWrap/>
            <w:vAlign w:val="center"/>
            <w:hideMark/>
          </w:tcPr>
          <w:p w14:paraId="658F0FA5" w14:textId="77777777" w:rsidR="003C3544" w:rsidRPr="00A76E61" w:rsidRDefault="003C3544" w:rsidP="003C3544">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Kesimpulan</w:t>
            </w:r>
          </w:p>
        </w:tc>
      </w:tr>
      <w:tr w:rsidR="003C3544" w:rsidRPr="00A76E61" w14:paraId="1B2763D5"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83E4BB"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Konstanta</w:t>
            </w:r>
          </w:p>
        </w:tc>
        <w:tc>
          <w:tcPr>
            <w:tcW w:w="4280" w:type="dxa"/>
            <w:tcBorders>
              <w:top w:val="nil"/>
              <w:left w:val="nil"/>
              <w:bottom w:val="single" w:sz="4" w:space="0" w:color="auto"/>
              <w:right w:val="single" w:sz="4" w:space="0" w:color="auto"/>
            </w:tcBorders>
            <w:shd w:val="clear" w:color="auto" w:fill="auto"/>
            <w:vAlign w:val="center"/>
            <w:hideMark/>
          </w:tcPr>
          <w:p w14:paraId="0AEA9249"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1.419.861</w:t>
            </w:r>
          </w:p>
        </w:tc>
        <w:tc>
          <w:tcPr>
            <w:tcW w:w="1300" w:type="dxa"/>
            <w:tcBorders>
              <w:top w:val="nil"/>
              <w:left w:val="nil"/>
              <w:bottom w:val="single" w:sz="4" w:space="0" w:color="auto"/>
              <w:right w:val="single" w:sz="4" w:space="0" w:color="auto"/>
            </w:tcBorders>
            <w:shd w:val="clear" w:color="auto" w:fill="auto"/>
            <w:noWrap/>
            <w:vAlign w:val="bottom"/>
            <w:hideMark/>
          </w:tcPr>
          <w:p w14:paraId="63FA9E69" w14:textId="77777777" w:rsidR="003C3544" w:rsidRPr="00A76E61" w:rsidRDefault="003C3544" w:rsidP="003C3544">
            <w:pPr>
              <w:spacing w:after="0" w:line="240" w:lineRule="auto"/>
              <w:jc w:val="center"/>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 </w:t>
            </w:r>
          </w:p>
        </w:tc>
        <w:tc>
          <w:tcPr>
            <w:tcW w:w="1780" w:type="dxa"/>
            <w:tcBorders>
              <w:top w:val="nil"/>
              <w:left w:val="nil"/>
              <w:bottom w:val="single" w:sz="4" w:space="0" w:color="auto"/>
              <w:right w:val="single" w:sz="4" w:space="0" w:color="auto"/>
            </w:tcBorders>
            <w:shd w:val="clear" w:color="auto" w:fill="auto"/>
            <w:noWrap/>
            <w:vAlign w:val="bottom"/>
            <w:hideMark/>
          </w:tcPr>
          <w:p w14:paraId="209BFC36" w14:textId="77777777" w:rsidR="003C3544" w:rsidRPr="00A76E61" w:rsidRDefault="003C3544" w:rsidP="003C3544">
            <w:pPr>
              <w:spacing w:after="0" w:line="240" w:lineRule="auto"/>
              <w:jc w:val="center"/>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 </w:t>
            </w:r>
          </w:p>
        </w:tc>
      </w:tr>
      <w:tr w:rsidR="003C3544" w:rsidRPr="00A76E61" w14:paraId="42F5A452"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2DAF68"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Size</w:t>
            </w:r>
          </w:p>
        </w:tc>
        <w:tc>
          <w:tcPr>
            <w:tcW w:w="4280" w:type="dxa"/>
            <w:tcBorders>
              <w:top w:val="nil"/>
              <w:left w:val="nil"/>
              <w:bottom w:val="single" w:sz="4" w:space="0" w:color="auto"/>
              <w:right w:val="single" w:sz="4" w:space="0" w:color="auto"/>
            </w:tcBorders>
            <w:shd w:val="clear" w:color="auto" w:fill="auto"/>
            <w:vAlign w:val="center"/>
            <w:hideMark/>
          </w:tcPr>
          <w:p w14:paraId="60AEF821"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-0.012832</w:t>
            </w:r>
          </w:p>
        </w:tc>
        <w:tc>
          <w:tcPr>
            <w:tcW w:w="1300" w:type="dxa"/>
            <w:tcBorders>
              <w:top w:val="nil"/>
              <w:left w:val="nil"/>
              <w:bottom w:val="single" w:sz="4" w:space="0" w:color="auto"/>
              <w:right w:val="single" w:sz="4" w:space="0" w:color="auto"/>
            </w:tcBorders>
            <w:shd w:val="clear" w:color="auto" w:fill="auto"/>
            <w:vAlign w:val="center"/>
            <w:hideMark/>
          </w:tcPr>
          <w:p w14:paraId="3371F18A"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0.0821</w:t>
            </w:r>
          </w:p>
        </w:tc>
        <w:tc>
          <w:tcPr>
            <w:tcW w:w="1780" w:type="dxa"/>
            <w:tcBorders>
              <w:top w:val="nil"/>
              <w:left w:val="nil"/>
              <w:bottom w:val="single" w:sz="4" w:space="0" w:color="auto"/>
              <w:right w:val="single" w:sz="4" w:space="0" w:color="auto"/>
            </w:tcBorders>
            <w:shd w:val="clear" w:color="auto" w:fill="auto"/>
            <w:vAlign w:val="center"/>
            <w:hideMark/>
          </w:tcPr>
          <w:p w14:paraId="354C1606"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r w:rsidR="003C3544" w:rsidRPr="00A76E61" w14:paraId="3DCDC698"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ADA3D8"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ROE</w:t>
            </w:r>
          </w:p>
        </w:tc>
        <w:tc>
          <w:tcPr>
            <w:tcW w:w="4280" w:type="dxa"/>
            <w:tcBorders>
              <w:top w:val="nil"/>
              <w:left w:val="nil"/>
              <w:bottom w:val="single" w:sz="4" w:space="0" w:color="auto"/>
              <w:right w:val="single" w:sz="4" w:space="0" w:color="auto"/>
            </w:tcBorders>
            <w:shd w:val="clear" w:color="auto" w:fill="auto"/>
            <w:vAlign w:val="center"/>
            <w:hideMark/>
          </w:tcPr>
          <w:p w14:paraId="74738F4D"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0.527132</w:t>
            </w:r>
          </w:p>
        </w:tc>
        <w:tc>
          <w:tcPr>
            <w:tcW w:w="1300" w:type="dxa"/>
            <w:tcBorders>
              <w:top w:val="nil"/>
              <w:left w:val="nil"/>
              <w:bottom w:val="single" w:sz="4" w:space="0" w:color="auto"/>
              <w:right w:val="single" w:sz="4" w:space="0" w:color="auto"/>
            </w:tcBorders>
            <w:shd w:val="clear" w:color="auto" w:fill="auto"/>
            <w:vAlign w:val="center"/>
            <w:hideMark/>
          </w:tcPr>
          <w:p w14:paraId="104D6427"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0.3788</w:t>
            </w:r>
          </w:p>
        </w:tc>
        <w:tc>
          <w:tcPr>
            <w:tcW w:w="1780" w:type="dxa"/>
            <w:tcBorders>
              <w:top w:val="nil"/>
              <w:left w:val="nil"/>
              <w:bottom w:val="single" w:sz="4" w:space="0" w:color="auto"/>
              <w:right w:val="single" w:sz="4" w:space="0" w:color="auto"/>
            </w:tcBorders>
            <w:shd w:val="clear" w:color="auto" w:fill="auto"/>
            <w:vAlign w:val="center"/>
            <w:hideMark/>
          </w:tcPr>
          <w:p w14:paraId="0407E44B"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r w:rsidR="003C3544" w:rsidRPr="00A76E61" w14:paraId="721058E1"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489BA6"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E_TA</w:t>
            </w:r>
          </w:p>
        </w:tc>
        <w:tc>
          <w:tcPr>
            <w:tcW w:w="4280" w:type="dxa"/>
            <w:tcBorders>
              <w:top w:val="nil"/>
              <w:left w:val="nil"/>
              <w:bottom w:val="single" w:sz="4" w:space="0" w:color="auto"/>
              <w:right w:val="single" w:sz="4" w:space="0" w:color="auto"/>
            </w:tcBorders>
            <w:shd w:val="clear" w:color="auto" w:fill="auto"/>
            <w:vAlign w:val="center"/>
            <w:hideMark/>
          </w:tcPr>
          <w:p w14:paraId="6E87EE64"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-0.662057</w:t>
            </w:r>
          </w:p>
        </w:tc>
        <w:tc>
          <w:tcPr>
            <w:tcW w:w="1300" w:type="dxa"/>
            <w:tcBorders>
              <w:top w:val="nil"/>
              <w:left w:val="nil"/>
              <w:bottom w:val="single" w:sz="4" w:space="0" w:color="auto"/>
              <w:right w:val="single" w:sz="4" w:space="0" w:color="auto"/>
            </w:tcBorders>
            <w:shd w:val="clear" w:color="auto" w:fill="auto"/>
            <w:vAlign w:val="center"/>
            <w:hideMark/>
          </w:tcPr>
          <w:p w14:paraId="6FD17048"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0.0008</w:t>
            </w:r>
          </w:p>
        </w:tc>
        <w:tc>
          <w:tcPr>
            <w:tcW w:w="1780" w:type="dxa"/>
            <w:tcBorders>
              <w:top w:val="nil"/>
              <w:left w:val="nil"/>
              <w:bottom w:val="single" w:sz="4" w:space="0" w:color="auto"/>
              <w:right w:val="single" w:sz="4" w:space="0" w:color="auto"/>
            </w:tcBorders>
            <w:shd w:val="clear" w:color="auto" w:fill="auto"/>
            <w:vAlign w:val="center"/>
            <w:hideMark/>
          </w:tcPr>
          <w:p w14:paraId="50CD6108"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Negatif Signifikan</w:t>
            </w:r>
          </w:p>
        </w:tc>
      </w:tr>
      <w:tr w:rsidR="003C3544" w:rsidRPr="00A76E61" w14:paraId="1A61B3D3"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E9BEE"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GTA</w:t>
            </w:r>
          </w:p>
        </w:tc>
        <w:tc>
          <w:tcPr>
            <w:tcW w:w="4280" w:type="dxa"/>
            <w:tcBorders>
              <w:top w:val="nil"/>
              <w:left w:val="nil"/>
              <w:bottom w:val="single" w:sz="4" w:space="0" w:color="auto"/>
              <w:right w:val="single" w:sz="4" w:space="0" w:color="auto"/>
            </w:tcBorders>
            <w:shd w:val="clear" w:color="auto" w:fill="auto"/>
            <w:vAlign w:val="center"/>
            <w:hideMark/>
          </w:tcPr>
          <w:p w14:paraId="2F2104C1"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0.014801</w:t>
            </w:r>
          </w:p>
        </w:tc>
        <w:tc>
          <w:tcPr>
            <w:tcW w:w="1300" w:type="dxa"/>
            <w:tcBorders>
              <w:top w:val="nil"/>
              <w:left w:val="nil"/>
              <w:bottom w:val="single" w:sz="4" w:space="0" w:color="auto"/>
              <w:right w:val="single" w:sz="4" w:space="0" w:color="auto"/>
            </w:tcBorders>
            <w:shd w:val="clear" w:color="auto" w:fill="auto"/>
            <w:vAlign w:val="center"/>
            <w:hideMark/>
          </w:tcPr>
          <w:p w14:paraId="20C02D5E"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0.0127</w:t>
            </w:r>
          </w:p>
        </w:tc>
        <w:tc>
          <w:tcPr>
            <w:tcW w:w="1780" w:type="dxa"/>
            <w:tcBorders>
              <w:top w:val="nil"/>
              <w:left w:val="nil"/>
              <w:bottom w:val="single" w:sz="4" w:space="0" w:color="auto"/>
              <w:right w:val="single" w:sz="4" w:space="0" w:color="auto"/>
            </w:tcBorders>
            <w:shd w:val="clear" w:color="auto" w:fill="auto"/>
            <w:vAlign w:val="center"/>
            <w:hideMark/>
          </w:tcPr>
          <w:p w14:paraId="07992D0B"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Positif Signifikan</w:t>
            </w:r>
          </w:p>
        </w:tc>
      </w:tr>
      <w:tr w:rsidR="003C3544" w:rsidRPr="00A76E61" w14:paraId="27537F15"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3C5B4D"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NL_TA</w:t>
            </w:r>
          </w:p>
        </w:tc>
        <w:tc>
          <w:tcPr>
            <w:tcW w:w="4280" w:type="dxa"/>
            <w:tcBorders>
              <w:top w:val="nil"/>
              <w:left w:val="nil"/>
              <w:bottom w:val="single" w:sz="4" w:space="0" w:color="auto"/>
              <w:right w:val="single" w:sz="4" w:space="0" w:color="auto"/>
            </w:tcBorders>
            <w:shd w:val="clear" w:color="auto" w:fill="auto"/>
            <w:vAlign w:val="center"/>
            <w:hideMark/>
          </w:tcPr>
          <w:p w14:paraId="738774E8"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0.029779</w:t>
            </w:r>
          </w:p>
        </w:tc>
        <w:tc>
          <w:tcPr>
            <w:tcW w:w="1300" w:type="dxa"/>
            <w:tcBorders>
              <w:top w:val="nil"/>
              <w:left w:val="nil"/>
              <w:bottom w:val="single" w:sz="4" w:space="0" w:color="auto"/>
              <w:right w:val="single" w:sz="4" w:space="0" w:color="auto"/>
            </w:tcBorders>
            <w:shd w:val="clear" w:color="auto" w:fill="auto"/>
            <w:vAlign w:val="center"/>
            <w:hideMark/>
          </w:tcPr>
          <w:p w14:paraId="2E9CE39D"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0.8800</w:t>
            </w:r>
          </w:p>
        </w:tc>
        <w:tc>
          <w:tcPr>
            <w:tcW w:w="1780" w:type="dxa"/>
            <w:tcBorders>
              <w:top w:val="nil"/>
              <w:left w:val="nil"/>
              <w:bottom w:val="single" w:sz="4" w:space="0" w:color="auto"/>
              <w:right w:val="single" w:sz="4" w:space="0" w:color="auto"/>
            </w:tcBorders>
            <w:shd w:val="clear" w:color="auto" w:fill="auto"/>
            <w:vAlign w:val="center"/>
            <w:hideMark/>
          </w:tcPr>
          <w:p w14:paraId="53D4D746"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Times New Roman" w:hAnsi="Times New Roman" w:cs="Times New Roman"/>
                <w:color w:val="000000"/>
                <w:sz w:val="20"/>
                <w:szCs w:val="20"/>
                <w:lang w:val="id-ID" w:eastAsia="id-ID"/>
              </w:rPr>
              <w:t>Tidak Signifikan</w:t>
            </w:r>
          </w:p>
        </w:tc>
      </w:tr>
      <w:tr w:rsidR="003C3544" w:rsidRPr="00A76E61" w14:paraId="19BC1C0A"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3F1CA0"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CR</w:t>
            </w:r>
          </w:p>
        </w:tc>
        <w:tc>
          <w:tcPr>
            <w:tcW w:w="4280" w:type="dxa"/>
            <w:tcBorders>
              <w:top w:val="nil"/>
              <w:left w:val="nil"/>
              <w:bottom w:val="single" w:sz="4" w:space="0" w:color="auto"/>
              <w:right w:val="single" w:sz="4" w:space="0" w:color="auto"/>
            </w:tcBorders>
            <w:shd w:val="clear" w:color="auto" w:fill="auto"/>
            <w:vAlign w:val="center"/>
            <w:hideMark/>
          </w:tcPr>
          <w:p w14:paraId="1539F15B"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-4.931.234</w:t>
            </w:r>
          </w:p>
        </w:tc>
        <w:tc>
          <w:tcPr>
            <w:tcW w:w="1300" w:type="dxa"/>
            <w:tcBorders>
              <w:top w:val="nil"/>
              <w:left w:val="nil"/>
              <w:bottom w:val="single" w:sz="4" w:space="0" w:color="auto"/>
              <w:right w:val="single" w:sz="4" w:space="0" w:color="auto"/>
            </w:tcBorders>
            <w:shd w:val="clear" w:color="auto" w:fill="auto"/>
            <w:vAlign w:val="center"/>
            <w:hideMark/>
          </w:tcPr>
          <w:p w14:paraId="6AECF19E"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0.0777</w:t>
            </w:r>
          </w:p>
        </w:tc>
        <w:tc>
          <w:tcPr>
            <w:tcW w:w="1780" w:type="dxa"/>
            <w:tcBorders>
              <w:top w:val="nil"/>
              <w:left w:val="nil"/>
              <w:bottom w:val="single" w:sz="4" w:space="0" w:color="auto"/>
              <w:right w:val="single" w:sz="4" w:space="0" w:color="auto"/>
            </w:tcBorders>
            <w:shd w:val="clear" w:color="auto" w:fill="auto"/>
            <w:vAlign w:val="center"/>
            <w:hideMark/>
          </w:tcPr>
          <w:p w14:paraId="1EFE3821"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r w:rsidR="003C3544" w:rsidRPr="00A76E61" w14:paraId="1F65A214" w14:textId="77777777" w:rsidTr="003C3544">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8C5B23" w14:textId="77777777" w:rsidR="003C3544" w:rsidRPr="00A76E61" w:rsidRDefault="003C3544" w:rsidP="003C3544">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AGE</w:t>
            </w:r>
          </w:p>
        </w:tc>
        <w:tc>
          <w:tcPr>
            <w:tcW w:w="4280" w:type="dxa"/>
            <w:tcBorders>
              <w:top w:val="nil"/>
              <w:left w:val="nil"/>
              <w:bottom w:val="single" w:sz="4" w:space="0" w:color="auto"/>
              <w:right w:val="single" w:sz="4" w:space="0" w:color="auto"/>
            </w:tcBorders>
            <w:shd w:val="clear" w:color="auto" w:fill="auto"/>
            <w:vAlign w:val="center"/>
            <w:hideMark/>
          </w:tcPr>
          <w:p w14:paraId="03912DB4"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-0.037732</w:t>
            </w:r>
          </w:p>
        </w:tc>
        <w:tc>
          <w:tcPr>
            <w:tcW w:w="1300" w:type="dxa"/>
            <w:tcBorders>
              <w:top w:val="nil"/>
              <w:left w:val="nil"/>
              <w:bottom w:val="single" w:sz="4" w:space="0" w:color="auto"/>
              <w:right w:val="single" w:sz="4" w:space="0" w:color="auto"/>
            </w:tcBorders>
            <w:shd w:val="clear" w:color="auto" w:fill="auto"/>
            <w:vAlign w:val="center"/>
            <w:hideMark/>
          </w:tcPr>
          <w:p w14:paraId="7392F9A6"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0.6885</w:t>
            </w:r>
          </w:p>
        </w:tc>
        <w:tc>
          <w:tcPr>
            <w:tcW w:w="1780" w:type="dxa"/>
            <w:tcBorders>
              <w:top w:val="nil"/>
              <w:left w:val="nil"/>
              <w:bottom w:val="single" w:sz="4" w:space="0" w:color="auto"/>
              <w:right w:val="single" w:sz="4" w:space="0" w:color="auto"/>
            </w:tcBorders>
            <w:shd w:val="clear" w:color="auto" w:fill="auto"/>
            <w:vAlign w:val="center"/>
            <w:hideMark/>
          </w:tcPr>
          <w:p w14:paraId="68805C66" w14:textId="77777777" w:rsidR="003C3544" w:rsidRPr="00A76E61" w:rsidRDefault="003C3544" w:rsidP="003C3544">
            <w:pPr>
              <w:spacing w:after="0" w:line="240" w:lineRule="auto"/>
              <w:jc w:val="center"/>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bl>
    <w:p w14:paraId="3F9D0439" w14:textId="77777777" w:rsidR="00DC7973" w:rsidRDefault="003C3544" w:rsidP="003C3544">
      <w:pPr>
        <w:pStyle w:val="NoSpacing"/>
        <w:spacing w:before="200" w:after="120"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14:anchorId="7E293511" wp14:editId="0DE5B734">
                <wp:simplePos x="0" y="0"/>
                <wp:positionH relativeFrom="column">
                  <wp:posOffset>0</wp:posOffset>
                </wp:positionH>
                <wp:positionV relativeFrom="paragraph">
                  <wp:posOffset>1977390</wp:posOffset>
                </wp:positionV>
                <wp:extent cx="2371725" cy="2476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2371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0AD83" w14:textId="77777777" w:rsidR="003C3544" w:rsidRPr="003E1C78" w:rsidRDefault="003C3544" w:rsidP="003C3544">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3511" id="Text Box 11" o:spid="_x0000_s1032" type="#_x0000_t202" style="position:absolute;left:0;text-align:left;margin-left:0;margin-top:155.7pt;width:186.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" fillcolor="white [3201]" stroked="f" strokeweight=".5pt">
                <v:textbox>
                  <w:txbxContent>
                    <w:p w14:paraId="1F50AD83" w14:textId="77777777" w:rsidR="003C3544" w:rsidRPr="003E1C78" w:rsidRDefault="003C3544" w:rsidP="003C3544">
                      <w:pPr>
                        <w:rPr>
                          <w:rFonts w:ascii="Times New Roman" w:hAnsi="Times New Roman" w:cs="Times New Roman"/>
                          <w:i/>
                          <w:sz w:val="20"/>
                          <w:lang w:val="id-ID"/>
                        </w:rPr>
                      </w:pPr>
                      <w:r w:rsidRPr="003E1C78">
                        <w:rPr>
                          <w:rFonts w:ascii="Times New Roman" w:hAnsi="Times New Roman" w:cs="Times New Roman"/>
                          <w:i/>
                          <w:sz w:val="20"/>
                          <w:lang w:val="id-ID"/>
                        </w:rPr>
                        <w:t>Sumber: olah data dari Eviews</w:t>
                      </w:r>
                    </w:p>
                  </w:txbxContent>
                </v:textbox>
              </v:shape>
            </w:pict>
          </mc:Fallback>
        </mc:AlternateContent>
      </w:r>
    </w:p>
    <w:p w14:paraId="487D5119" w14:textId="05B7E43D" w:rsidR="00E46FC5" w:rsidRDefault="00E46FC5" w:rsidP="003C3544">
      <w:pPr>
        <w:pStyle w:val="NoSpacing"/>
        <w:spacing w:before="200" w:after="120" w:line="276" w:lineRule="auto"/>
        <w:jc w:val="both"/>
        <w:rPr>
          <w:rFonts w:ascii="Times New Roman" w:eastAsia="Times New Roman" w:hAnsi="Times New Roman" w:cs="Times New Roman"/>
          <w:sz w:val="24"/>
          <w:szCs w:val="24"/>
          <w:lang w:val="id-ID"/>
        </w:rPr>
      </w:pPr>
      <w:r w:rsidRPr="00E46FC5">
        <w:rPr>
          <w:rFonts w:ascii="Times New Roman" w:eastAsia="Times New Roman" w:hAnsi="Times New Roman" w:cs="Times New Roman"/>
          <w:sz w:val="24"/>
          <w:szCs w:val="24"/>
          <w:lang w:val="id-ID"/>
        </w:rPr>
        <w:t>independen. Output dari model ini adalah untuk mengestimasi nilai rata-rata dari variabel dependen jika variabel indepennya diketahui.</w:t>
      </w:r>
    </w:p>
    <w:p w14:paraId="57D556CD" w14:textId="5078938C" w:rsidR="00A76E61" w:rsidRDefault="00E46FC5" w:rsidP="00A76E61">
      <w:pPr>
        <w:pStyle w:val="NoSpacing"/>
        <w:spacing w:before="200" w:after="120" w:line="276"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Regresi Logit pada tabel 3 </w:t>
      </w:r>
      <w:r w:rsidRPr="00E46FC5">
        <w:rPr>
          <w:rFonts w:ascii="Times New Roman" w:eastAsia="Times New Roman" w:hAnsi="Times New Roman" w:cs="Times New Roman"/>
          <w:sz w:val="24"/>
          <w:szCs w:val="24"/>
          <w:lang w:val="id-ID"/>
        </w:rPr>
        <w:t>digunakan untuk prediksi probabilitas atas kejadian suatu peristiwa dengan mencocokan data pada persamaan logit kurva logistic. Model ini adalah model linear umum yang digunakan untuk regresi binomial. Seperti analisis regresi lainnya, model ini juga menggunakan beberapa variabel predikto</w:t>
      </w:r>
      <w:r w:rsidR="003C3544">
        <w:rPr>
          <w:rFonts w:ascii="Times New Roman" w:eastAsia="Times New Roman" w:hAnsi="Times New Roman" w:cs="Times New Roman"/>
          <w:sz w:val="24"/>
          <w:szCs w:val="24"/>
          <w:lang w:val="id-ID"/>
        </w:rPr>
        <w:t xml:space="preserve">r baik numeric maupun kategori. Adapun kriteria dalam pengambilan keputusan berdasarkan kriteria yaitu nilai </w:t>
      </w:r>
      <w:r w:rsidR="003C3544" w:rsidRPr="00E46FC5">
        <w:rPr>
          <w:rFonts w:ascii="Times New Roman" w:eastAsia="Times New Roman" w:hAnsi="Times New Roman" w:cs="Times New Roman"/>
          <w:sz w:val="24"/>
          <w:szCs w:val="24"/>
          <w:lang w:val="id-ID"/>
        </w:rPr>
        <w:t>sig. &lt; 0,05</w:t>
      </w:r>
      <w:r w:rsidR="003C3544">
        <w:rPr>
          <w:rFonts w:ascii="Times New Roman" w:eastAsia="Times New Roman" w:hAnsi="Times New Roman" w:cs="Times New Roman"/>
          <w:sz w:val="24"/>
          <w:szCs w:val="24"/>
          <w:lang w:val="id-ID"/>
        </w:rPr>
        <w:t xml:space="preserve"> maka hipotesis diterima (koefisien regresi signifikan), yang artinya variabel independen memiliki pengaruh signifikan </w:t>
      </w:r>
    </w:p>
    <w:p w14:paraId="4AEC7D47" w14:textId="77777777" w:rsidR="003C3544" w:rsidRDefault="003C3544" w:rsidP="00A76E61">
      <w:pPr>
        <w:pStyle w:val="NoSpacing"/>
        <w:spacing w:before="200" w:after="120" w:line="276" w:lineRule="auto"/>
        <w:jc w:val="both"/>
        <w:rPr>
          <w:rFonts w:ascii="Times New Roman" w:eastAsia="Times New Roman" w:hAnsi="Times New Roman" w:cs="Times New Roman"/>
          <w:sz w:val="24"/>
          <w:szCs w:val="24"/>
          <w:lang w:val="id-ID"/>
        </w:rPr>
      </w:pPr>
    </w:p>
    <w:p w14:paraId="2E6FDC27" w14:textId="30806997" w:rsidR="00A76E61" w:rsidRDefault="00A76E61" w:rsidP="00A76E61">
      <w:pPr>
        <w:pStyle w:val="NoSpacing"/>
        <w:spacing w:before="200" w:after="120" w:line="276" w:lineRule="auto"/>
        <w:jc w:val="both"/>
        <w:rPr>
          <w:rFonts w:ascii="Times New Roman" w:eastAsia="Times New Roman" w:hAnsi="Times New Roman" w:cs="Times New Roman"/>
          <w:sz w:val="24"/>
          <w:szCs w:val="24"/>
          <w:lang w:val="id-ID"/>
        </w:rPr>
      </w:pPr>
    </w:p>
    <w:p w14:paraId="02D76701" w14:textId="77777777" w:rsidR="003C3544" w:rsidRDefault="003C3544" w:rsidP="00A76E61">
      <w:pPr>
        <w:pStyle w:val="NoSpacing"/>
        <w:spacing w:before="200" w:after="120" w:line="276" w:lineRule="auto"/>
        <w:jc w:val="both"/>
        <w:rPr>
          <w:rFonts w:ascii="Times New Roman" w:eastAsia="Times New Roman" w:hAnsi="Times New Roman" w:cs="Times New Roman"/>
          <w:sz w:val="24"/>
          <w:szCs w:val="24"/>
          <w:lang w:val="id-ID"/>
        </w:rPr>
      </w:pPr>
    </w:p>
    <w:p w14:paraId="2558C9AF" w14:textId="7ABBB05A" w:rsidR="00A76E61" w:rsidRPr="003C3544" w:rsidRDefault="00A76E61" w:rsidP="00A76E61">
      <w:pPr>
        <w:pStyle w:val="NoSpacing"/>
        <w:spacing w:before="200" w:after="120" w:line="276" w:lineRule="auto"/>
        <w:jc w:val="both"/>
        <w:rPr>
          <w:rFonts w:ascii="Times New Roman" w:eastAsia="Calibri" w:hAnsi="Times New Roman" w:cs="Times New Roman"/>
          <w:sz w:val="24"/>
          <w:szCs w:val="24"/>
        </w:rPr>
      </w:pPr>
      <w:r w:rsidRPr="00E46FC5">
        <w:rPr>
          <w:rFonts w:ascii="Times New Roman" w:eastAsia="Times New Roman" w:hAnsi="Times New Roman" w:cs="Times New Roman"/>
          <w:sz w:val="24"/>
          <w:szCs w:val="24"/>
          <w:lang w:val="id-ID"/>
        </w:rPr>
        <w:t>variabel dependen</w:t>
      </w:r>
      <w:r w:rsidR="003C3544">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Sedangkan </w:t>
      </w:r>
      <w:r>
        <w:rPr>
          <w:rFonts w:ascii="Times New Roman" w:eastAsia="Calibri" w:hAnsi="Times New Roman" w:cs="Times New Roman"/>
          <w:sz w:val="24"/>
          <w:szCs w:val="24"/>
        </w:rPr>
        <w:t>j</w:t>
      </w:r>
      <w:r w:rsidRPr="00120D3D">
        <w:rPr>
          <w:rFonts w:ascii="Times New Roman" w:eastAsia="Calibri" w:hAnsi="Times New Roman" w:cs="Times New Roman"/>
          <w:sz w:val="24"/>
          <w:szCs w:val="24"/>
        </w:rPr>
        <w:t>ika nilai sig. &gt; 0</w:t>
      </w:r>
      <w:proofErr w:type="gramStart"/>
      <w:r w:rsidRPr="00120D3D">
        <w:rPr>
          <w:rFonts w:ascii="Times New Roman" w:eastAsia="Calibri" w:hAnsi="Times New Roman" w:cs="Times New Roman"/>
          <w:sz w:val="24"/>
          <w:szCs w:val="24"/>
        </w:rPr>
        <w:t>,05</w:t>
      </w:r>
      <w:proofErr w:type="gramEnd"/>
      <w:r w:rsidRPr="00120D3D">
        <w:rPr>
          <w:rFonts w:ascii="Times New Roman" w:eastAsia="Calibri" w:hAnsi="Times New Roman" w:cs="Times New Roman"/>
          <w:sz w:val="24"/>
          <w:szCs w:val="24"/>
        </w:rPr>
        <w:t xml:space="preserve"> maka hipotesis ditolak (koefisien regresi tidak signifikan), yang artinya variabel </w:t>
      </w:r>
      <w:r>
        <w:rPr>
          <w:rFonts w:ascii="Times New Roman" w:eastAsia="Calibri" w:hAnsi="Times New Roman" w:cs="Times New Roman"/>
          <w:sz w:val="24"/>
          <w:szCs w:val="24"/>
          <w:lang w:val="id-ID"/>
        </w:rPr>
        <w:t xml:space="preserve">independen tidak memiliki pengaruh signifikan terhadap variabel dependen. </w:t>
      </w:r>
    </w:p>
    <w:tbl>
      <w:tblPr>
        <w:tblpPr w:leftFromText="180" w:rightFromText="180" w:vertAnchor="page" w:horzAnchor="margin" w:tblpY="1966"/>
        <w:tblW w:w="9320" w:type="dxa"/>
        <w:tblLook w:val="04A0" w:firstRow="1" w:lastRow="0" w:firstColumn="1" w:lastColumn="0" w:noHBand="0" w:noVBand="1"/>
      </w:tblPr>
      <w:tblGrid>
        <w:gridCol w:w="1960"/>
        <w:gridCol w:w="4280"/>
        <w:gridCol w:w="1300"/>
        <w:gridCol w:w="1780"/>
      </w:tblGrid>
      <w:tr w:rsidR="00A76E61" w:rsidRPr="00A76E61" w14:paraId="0903DAB6" w14:textId="77777777" w:rsidTr="00A76E61">
        <w:trPr>
          <w:trHeight w:val="255"/>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E1125" w14:textId="77777777" w:rsidR="00A76E61" w:rsidRPr="00A76E61" w:rsidRDefault="00A76E61" w:rsidP="00A76E61">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Variabel Independen</w:t>
            </w:r>
          </w:p>
        </w:tc>
        <w:tc>
          <w:tcPr>
            <w:tcW w:w="73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2498BA" w14:textId="26FD29B8" w:rsidR="00A76E61" w:rsidRPr="00A76E61" w:rsidRDefault="00A76E61" w:rsidP="00A76E61">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Variabel Dependen</w:t>
            </w:r>
          </w:p>
        </w:tc>
      </w:tr>
      <w:tr w:rsidR="00A76E61" w:rsidRPr="00A76E61" w14:paraId="16130D5E" w14:textId="77777777" w:rsidTr="00A76E61">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3EA2200" w14:textId="77777777" w:rsidR="00A76E61" w:rsidRPr="00A76E61" w:rsidRDefault="00A76E61" w:rsidP="00A76E61">
            <w:pPr>
              <w:spacing w:after="0" w:line="240" w:lineRule="auto"/>
              <w:rPr>
                <w:rFonts w:ascii="Times New Roman" w:eastAsia="Times New Roman" w:hAnsi="Times New Roman" w:cs="Times New Roman"/>
                <w:b/>
                <w:bCs/>
                <w:color w:val="000000"/>
                <w:sz w:val="20"/>
                <w:szCs w:val="20"/>
                <w:lang w:val="id-ID" w:eastAsia="id-ID"/>
              </w:rPr>
            </w:pPr>
          </w:p>
        </w:tc>
        <w:tc>
          <w:tcPr>
            <w:tcW w:w="73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274871" w14:textId="4CB11DD9" w:rsidR="00A76E61" w:rsidRPr="00A76E61" w:rsidRDefault="00A76E61" w:rsidP="00A76E61">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DPOR</w:t>
            </w:r>
          </w:p>
        </w:tc>
      </w:tr>
      <w:tr w:rsidR="00A76E61" w:rsidRPr="00A76E61" w14:paraId="2FBD63AF" w14:textId="77777777" w:rsidTr="00A76E61">
        <w:trPr>
          <w:trHeight w:val="255"/>
        </w:trPr>
        <w:tc>
          <w:tcPr>
            <w:tcW w:w="1960" w:type="dxa"/>
            <w:vMerge/>
            <w:tcBorders>
              <w:top w:val="single" w:sz="4" w:space="0" w:color="auto"/>
              <w:left w:val="single" w:sz="4" w:space="0" w:color="auto"/>
              <w:bottom w:val="single" w:sz="4" w:space="0" w:color="auto"/>
              <w:right w:val="single" w:sz="4" w:space="0" w:color="auto"/>
            </w:tcBorders>
            <w:vAlign w:val="center"/>
            <w:hideMark/>
          </w:tcPr>
          <w:p w14:paraId="73F47B6E" w14:textId="77777777" w:rsidR="00A76E61" w:rsidRPr="00A76E61" w:rsidRDefault="00A76E61" w:rsidP="00A76E61">
            <w:pPr>
              <w:spacing w:after="0" w:line="240" w:lineRule="auto"/>
              <w:rPr>
                <w:rFonts w:ascii="Times New Roman" w:eastAsia="Times New Roman" w:hAnsi="Times New Roman" w:cs="Times New Roman"/>
                <w:b/>
                <w:bCs/>
                <w:color w:val="000000"/>
                <w:sz w:val="20"/>
                <w:szCs w:val="20"/>
                <w:lang w:val="id-ID" w:eastAsia="id-ID"/>
              </w:rPr>
            </w:pPr>
          </w:p>
        </w:tc>
        <w:tc>
          <w:tcPr>
            <w:tcW w:w="4280" w:type="dxa"/>
            <w:tcBorders>
              <w:top w:val="nil"/>
              <w:left w:val="nil"/>
              <w:bottom w:val="single" w:sz="4" w:space="0" w:color="auto"/>
              <w:right w:val="single" w:sz="4" w:space="0" w:color="auto"/>
            </w:tcBorders>
            <w:shd w:val="clear" w:color="auto" w:fill="auto"/>
            <w:noWrap/>
            <w:vAlign w:val="center"/>
            <w:hideMark/>
          </w:tcPr>
          <w:p w14:paraId="05301237" w14:textId="525F42AB" w:rsidR="00A76E61" w:rsidRPr="00A76E61" w:rsidRDefault="00A76E61" w:rsidP="00A76E61">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Koefisien</w:t>
            </w:r>
          </w:p>
        </w:tc>
        <w:tc>
          <w:tcPr>
            <w:tcW w:w="1300" w:type="dxa"/>
            <w:tcBorders>
              <w:top w:val="nil"/>
              <w:left w:val="nil"/>
              <w:bottom w:val="single" w:sz="4" w:space="0" w:color="auto"/>
              <w:right w:val="single" w:sz="4" w:space="0" w:color="auto"/>
            </w:tcBorders>
            <w:shd w:val="clear" w:color="auto" w:fill="auto"/>
            <w:noWrap/>
            <w:vAlign w:val="center"/>
            <w:hideMark/>
          </w:tcPr>
          <w:p w14:paraId="20378726" w14:textId="77777777" w:rsidR="00A76E61" w:rsidRPr="00A76E61" w:rsidRDefault="00A76E61" w:rsidP="00A76E61">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Probabilitas</w:t>
            </w:r>
          </w:p>
        </w:tc>
        <w:tc>
          <w:tcPr>
            <w:tcW w:w="1780" w:type="dxa"/>
            <w:tcBorders>
              <w:top w:val="nil"/>
              <w:left w:val="nil"/>
              <w:bottom w:val="single" w:sz="4" w:space="0" w:color="auto"/>
              <w:right w:val="single" w:sz="4" w:space="0" w:color="auto"/>
            </w:tcBorders>
            <w:shd w:val="clear" w:color="auto" w:fill="auto"/>
            <w:noWrap/>
            <w:vAlign w:val="center"/>
            <w:hideMark/>
          </w:tcPr>
          <w:p w14:paraId="0D487501" w14:textId="77777777" w:rsidR="00A76E61" w:rsidRPr="00A76E61" w:rsidRDefault="00A76E61" w:rsidP="00A76E61">
            <w:pPr>
              <w:spacing w:after="0" w:line="240" w:lineRule="auto"/>
              <w:jc w:val="center"/>
              <w:rPr>
                <w:rFonts w:ascii="Times New Roman" w:eastAsia="Times New Roman" w:hAnsi="Times New Roman" w:cs="Times New Roman"/>
                <w:b/>
                <w:bCs/>
                <w:color w:val="000000"/>
                <w:sz w:val="20"/>
                <w:szCs w:val="20"/>
                <w:lang w:val="id-ID" w:eastAsia="id-ID"/>
              </w:rPr>
            </w:pPr>
            <w:r w:rsidRPr="00A76E61">
              <w:rPr>
                <w:rFonts w:ascii="Times New Roman" w:eastAsia="Times New Roman" w:hAnsi="Times New Roman" w:cs="Times New Roman"/>
                <w:b/>
                <w:bCs/>
                <w:color w:val="000000"/>
                <w:sz w:val="20"/>
                <w:szCs w:val="20"/>
                <w:lang w:val="id-ID" w:eastAsia="id-ID"/>
              </w:rPr>
              <w:t>Kesimpulan</w:t>
            </w:r>
          </w:p>
        </w:tc>
      </w:tr>
      <w:tr w:rsidR="00A76E61" w:rsidRPr="00A76E61" w14:paraId="52A988C0" w14:textId="77777777" w:rsidTr="00A76E61">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A5EC85"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Konstanta</w:t>
            </w:r>
          </w:p>
        </w:tc>
        <w:tc>
          <w:tcPr>
            <w:tcW w:w="4280" w:type="dxa"/>
            <w:tcBorders>
              <w:top w:val="nil"/>
              <w:left w:val="nil"/>
              <w:bottom w:val="single" w:sz="4" w:space="0" w:color="auto"/>
              <w:right w:val="single" w:sz="4" w:space="0" w:color="auto"/>
            </w:tcBorders>
            <w:shd w:val="clear" w:color="auto" w:fill="auto"/>
            <w:noWrap/>
            <w:vAlign w:val="bottom"/>
            <w:hideMark/>
          </w:tcPr>
          <w:p w14:paraId="6B6F69C7" w14:textId="23114247" w:rsidR="00A76E61" w:rsidRPr="00A76E61" w:rsidRDefault="00A76E61" w:rsidP="00A76E61">
            <w:pPr>
              <w:spacing w:after="0" w:line="240" w:lineRule="auto"/>
              <w:jc w:val="right"/>
              <w:rPr>
                <w:rFonts w:ascii="Times New Roman" w:eastAsia="Times New Roman" w:hAnsi="Times New Roman" w:cs="Times New Roman"/>
                <w:color w:val="000000"/>
                <w:sz w:val="20"/>
                <w:szCs w:val="20"/>
                <w:lang w:val="id-ID" w:eastAsia="id-ID"/>
              </w:rPr>
            </w:pPr>
            <w:r w:rsidRPr="00A76E61">
              <w:rPr>
                <w:rFonts w:ascii="Times New Roman" w:eastAsia="Times New Roman" w:hAnsi="Times New Roman" w:cs="Times New Roman"/>
                <w:color w:val="000000"/>
                <w:sz w:val="20"/>
                <w:szCs w:val="20"/>
                <w:lang w:eastAsia="id-ID"/>
              </w:rPr>
              <w:t>-4,789528</w:t>
            </w:r>
          </w:p>
        </w:tc>
        <w:tc>
          <w:tcPr>
            <w:tcW w:w="1300" w:type="dxa"/>
            <w:tcBorders>
              <w:top w:val="nil"/>
              <w:left w:val="nil"/>
              <w:bottom w:val="single" w:sz="4" w:space="0" w:color="auto"/>
              <w:right w:val="single" w:sz="4" w:space="0" w:color="auto"/>
            </w:tcBorders>
            <w:shd w:val="clear" w:color="auto" w:fill="auto"/>
            <w:noWrap/>
            <w:vAlign w:val="bottom"/>
            <w:hideMark/>
          </w:tcPr>
          <w:p w14:paraId="2C39F1BA" w14:textId="4FC6244F"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 </w:t>
            </w:r>
          </w:p>
        </w:tc>
        <w:tc>
          <w:tcPr>
            <w:tcW w:w="1780" w:type="dxa"/>
            <w:tcBorders>
              <w:top w:val="nil"/>
              <w:left w:val="nil"/>
              <w:bottom w:val="single" w:sz="4" w:space="0" w:color="auto"/>
              <w:right w:val="single" w:sz="4" w:space="0" w:color="auto"/>
            </w:tcBorders>
            <w:shd w:val="clear" w:color="auto" w:fill="auto"/>
            <w:noWrap/>
            <w:vAlign w:val="bottom"/>
            <w:hideMark/>
          </w:tcPr>
          <w:p w14:paraId="45FB3EEB"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 </w:t>
            </w:r>
          </w:p>
        </w:tc>
      </w:tr>
      <w:tr w:rsidR="00A76E61" w:rsidRPr="00A76E61" w14:paraId="5704290D" w14:textId="77777777" w:rsidTr="00A76E61">
        <w:trPr>
          <w:trHeight w:val="27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EFFD40"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Size</w:t>
            </w:r>
          </w:p>
        </w:tc>
        <w:tc>
          <w:tcPr>
            <w:tcW w:w="4280" w:type="dxa"/>
            <w:tcBorders>
              <w:top w:val="nil"/>
              <w:left w:val="nil"/>
              <w:bottom w:val="single" w:sz="4" w:space="0" w:color="auto"/>
              <w:right w:val="single" w:sz="4" w:space="0" w:color="auto"/>
            </w:tcBorders>
            <w:shd w:val="clear" w:color="auto" w:fill="auto"/>
            <w:vAlign w:val="center"/>
            <w:hideMark/>
          </w:tcPr>
          <w:p w14:paraId="2DD34F60"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-0.246645</w:t>
            </w:r>
          </w:p>
        </w:tc>
        <w:tc>
          <w:tcPr>
            <w:tcW w:w="1300" w:type="dxa"/>
            <w:tcBorders>
              <w:top w:val="nil"/>
              <w:left w:val="nil"/>
              <w:bottom w:val="single" w:sz="4" w:space="0" w:color="auto"/>
              <w:right w:val="single" w:sz="4" w:space="0" w:color="auto"/>
            </w:tcBorders>
            <w:shd w:val="clear" w:color="auto" w:fill="auto"/>
            <w:vAlign w:val="center"/>
            <w:hideMark/>
          </w:tcPr>
          <w:p w14:paraId="1E98E886"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0.0414</w:t>
            </w:r>
          </w:p>
        </w:tc>
        <w:tc>
          <w:tcPr>
            <w:tcW w:w="1780" w:type="dxa"/>
            <w:tcBorders>
              <w:top w:val="nil"/>
              <w:left w:val="nil"/>
              <w:bottom w:val="single" w:sz="4" w:space="0" w:color="auto"/>
              <w:right w:val="single" w:sz="4" w:space="0" w:color="auto"/>
            </w:tcBorders>
            <w:shd w:val="clear" w:color="auto" w:fill="auto"/>
            <w:vAlign w:val="center"/>
            <w:hideMark/>
          </w:tcPr>
          <w:p w14:paraId="6B1D1D91"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Negatif Signifikan</w:t>
            </w:r>
          </w:p>
        </w:tc>
      </w:tr>
      <w:tr w:rsidR="00A76E61" w:rsidRPr="00A76E61" w14:paraId="19B54F2C" w14:textId="77777777" w:rsidTr="00A76E61">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A7CEC8"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ROE</w:t>
            </w:r>
          </w:p>
        </w:tc>
        <w:tc>
          <w:tcPr>
            <w:tcW w:w="4280" w:type="dxa"/>
            <w:tcBorders>
              <w:top w:val="nil"/>
              <w:left w:val="nil"/>
              <w:bottom w:val="single" w:sz="4" w:space="0" w:color="auto"/>
              <w:right w:val="single" w:sz="4" w:space="0" w:color="auto"/>
            </w:tcBorders>
            <w:shd w:val="clear" w:color="auto" w:fill="auto"/>
            <w:vAlign w:val="center"/>
            <w:hideMark/>
          </w:tcPr>
          <w:p w14:paraId="21B4C08D" w14:textId="73177FBA"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-1.375.126</w:t>
            </w:r>
          </w:p>
        </w:tc>
        <w:tc>
          <w:tcPr>
            <w:tcW w:w="1300" w:type="dxa"/>
            <w:tcBorders>
              <w:top w:val="nil"/>
              <w:left w:val="nil"/>
              <w:bottom w:val="single" w:sz="4" w:space="0" w:color="auto"/>
              <w:right w:val="single" w:sz="4" w:space="0" w:color="auto"/>
            </w:tcBorders>
            <w:shd w:val="clear" w:color="auto" w:fill="auto"/>
            <w:vAlign w:val="center"/>
            <w:hideMark/>
          </w:tcPr>
          <w:p w14:paraId="2E4B984C"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0.0211</w:t>
            </w:r>
          </w:p>
        </w:tc>
        <w:tc>
          <w:tcPr>
            <w:tcW w:w="1780" w:type="dxa"/>
            <w:tcBorders>
              <w:top w:val="nil"/>
              <w:left w:val="nil"/>
              <w:bottom w:val="single" w:sz="4" w:space="0" w:color="auto"/>
              <w:right w:val="single" w:sz="4" w:space="0" w:color="auto"/>
            </w:tcBorders>
            <w:shd w:val="clear" w:color="auto" w:fill="auto"/>
            <w:vAlign w:val="center"/>
            <w:hideMark/>
          </w:tcPr>
          <w:p w14:paraId="251E627E"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Negatif Signifikan</w:t>
            </w:r>
          </w:p>
        </w:tc>
      </w:tr>
      <w:tr w:rsidR="00A76E61" w:rsidRPr="00A76E61" w14:paraId="10770967" w14:textId="77777777" w:rsidTr="00A76E61">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AB04D4"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E_TA</w:t>
            </w:r>
          </w:p>
        </w:tc>
        <w:tc>
          <w:tcPr>
            <w:tcW w:w="4280" w:type="dxa"/>
            <w:tcBorders>
              <w:top w:val="nil"/>
              <w:left w:val="nil"/>
              <w:bottom w:val="single" w:sz="4" w:space="0" w:color="auto"/>
              <w:right w:val="single" w:sz="4" w:space="0" w:color="auto"/>
            </w:tcBorders>
            <w:shd w:val="clear" w:color="auto" w:fill="auto"/>
            <w:vAlign w:val="center"/>
            <w:hideMark/>
          </w:tcPr>
          <w:p w14:paraId="4AE51B8C" w14:textId="24428D82"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-0.166737</w:t>
            </w:r>
          </w:p>
        </w:tc>
        <w:tc>
          <w:tcPr>
            <w:tcW w:w="1300" w:type="dxa"/>
            <w:tcBorders>
              <w:top w:val="nil"/>
              <w:left w:val="nil"/>
              <w:bottom w:val="single" w:sz="4" w:space="0" w:color="auto"/>
              <w:right w:val="single" w:sz="4" w:space="0" w:color="auto"/>
            </w:tcBorders>
            <w:shd w:val="clear" w:color="auto" w:fill="auto"/>
            <w:vAlign w:val="center"/>
            <w:hideMark/>
          </w:tcPr>
          <w:p w14:paraId="525E9E3A"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0.7177</w:t>
            </w:r>
          </w:p>
        </w:tc>
        <w:tc>
          <w:tcPr>
            <w:tcW w:w="1780" w:type="dxa"/>
            <w:tcBorders>
              <w:top w:val="nil"/>
              <w:left w:val="nil"/>
              <w:bottom w:val="single" w:sz="4" w:space="0" w:color="auto"/>
              <w:right w:val="single" w:sz="4" w:space="0" w:color="auto"/>
            </w:tcBorders>
            <w:shd w:val="clear" w:color="auto" w:fill="auto"/>
            <w:vAlign w:val="center"/>
            <w:hideMark/>
          </w:tcPr>
          <w:p w14:paraId="12E90525"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r w:rsidR="00A76E61" w:rsidRPr="00A76E61" w14:paraId="6D3F88B3" w14:textId="77777777" w:rsidTr="00A76E61">
        <w:trPr>
          <w:trHeight w:val="27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B0674B"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GTA</w:t>
            </w:r>
          </w:p>
        </w:tc>
        <w:tc>
          <w:tcPr>
            <w:tcW w:w="4280" w:type="dxa"/>
            <w:tcBorders>
              <w:top w:val="nil"/>
              <w:left w:val="nil"/>
              <w:bottom w:val="single" w:sz="4" w:space="0" w:color="auto"/>
              <w:right w:val="single" w:sz="4" w:space="0" w:color="auto"/>
            </w:tcBorders>
            <w:shd w:val="clear" w:color="auto" w:fill="auto"/>
            <w:vAlign w:val="center"/>
            <w:hideMark/>
          </w:tcPr>
          <w:p w14:paraId="27778EE6"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0.020569</w:t>
            </w:r>
          </w:p>
        </w:tc>
        <w:tc>
          <w:tcPr>
            <w:tcW w:w="1300" w:type="dxa"/>
            <w:tcBorders>
              <w:top w:val="nil"/>
              <w:left w:val="nil"/>
              <w:bottom w:val="single" w:sz="4" w:space="0" w:color="auto"/>
              <w:right w:val="single" w:sz="4" w:space="0" w:color="auto"/>
            </w:tcBorders>
            <w:shd w:val="clear" w:color="auto" w:fill="auto"/>
            <w:vAlign w:val="center"/>
            <w:hideMark/>
          </w:tcPr>
          <w:p w14:paraId="30B1E18D"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0.4312</w:t>
            </w:r>
          </w:p>
        </w:tc>
        <w:tc>
          <w:tcPr>
            <w:tcW w:w="1780" w:type="dxa"/>
            <w:tcBorders>
              <w:top w:val="nil"/>
              <w:left w:val="nil"/>
              <w:bottom w:val="single" w:sz="4" w:space="0" w:color="auto"/>
              <w:right w:val="single" w:sz="4" w:space="0" w:color="auto"/>
            </w:tcBorders>
            <w:shd w:val="clear" w:color="auto" w:fill="auto"/>
            <w:vAlign w:val="center"/>
            <w:hideMark/>
          </w:tcPr>
          <w:p w14:paraId="3326A974"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r w:rsidR="00A76E61" w:rsidRPr="00A76E61" w14:paraId="4642442B" w14:textId="77777777" w:rsidTr="00A76E61">
        <w:trPr>
          <w:trHeight w:val="25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6C38C2"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NL_TA</w:t>
            </w:r>
          </w:p>
        </w:tc>
        <w:tc>
          <w:tcPr>
            <w:tcW w:w="4280" w:type="dxa"/>
            <w:tcBorders>
              <w:top w:val="nil"/>
              <w:left w:val="nil"/>
              <w:bottom w:val="single" w:sz="4" w:space="0" w:color="auto"/>
              <w:right w:val="single" w:sz="4" w:space="0" w:color="auto"/>
            </w:tcBorders>
            <w:shd w:val="clear" w:color="auto" w:fill="auto"/>
            <w:vAlign w:val="center"/>
            <w:hideMark/>
          </w:tcPr>
          <w:p w14:paraId="07CA3C87" w14:textId="75047533"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0.196025</w:t>
            </w:r>
          </w:p>
        </w:tc>
        <w:tc>
          <w:tcPr>
            <w:tcW w:w="1300" w:type="dxa"/>
            <w:tcBorders>
              <w:top w:val="nil"/>
              <w:left w:val="nil"/>
              <w:bottom w:val="single" w:sz="4" w:space="0" w:color="auto"/>
              <w:right w:val="single" w:sz="4" w:space="0" w:color="auto"/>
            </w:tcBorders>
            <w:shd w:val="clear" w:color="auto" w:fill="auto"/>
            <w:vAlign w:val="center"/>
            <w:hideMark/>
          </w:tcPr>
          <w:p w14:paraId="7480B68B"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0.0427</w:t>
            </w:r>
          </w:p>
        </w:tc>
        <w:tc>
          <w:tcPr>
            <w:tcW w:w="1780" w:type="dxa"/>
            <w:tcBorders>
              <w:top w:val="nil"/>
              <w:left w:val="nil"/>
              <w:bottom w:val="single" w:sz="4" w:space="0" w:color="auto"/>
              <w:right w:val="single" w:sz="4" w:space="0" w:color="auto"/>
            </w:tcBorders>
            <w:shd w:val="clear" w:color="auto" w:fill="auto"/>
            <w:vAlign w:val="center"/>
            <w:hideMark/>
          </w:tcPr>
          <w:p w14:paraId="08E7F8D9"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Positif Signifikan</w:t>
            </w:r>
          </w:p>
        </w:tc>
      </w:tr>
      <w:tr w:rsidR="00A76E61" w:rsidRPr="00A76E61" w14:paraId="5DFC6530" w14:textId="77777777" w:rsidTr="00A76E61">
        <w:trPr>
          <w:trHeight w:val="27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3E0D52"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CR</w:t>
            </w:r>
          </w:p>
        </w:tc>
        <w:tc>
          <w:tcPr>
            <w:tcW w:w="4280" w:type="dxa"/>
            <w:tcBorders>
              <w:top w:val="nil"/>
              <w:left w:val="nil"/>
              <w:bottom w:val="single" w:sz="4" w:space="0" w:color="auto"/>
              <w:right w:val="single" w:sz="4" w:space="0" w:color="auto"/>
            </w:tcBorders>
            <w:shd w:val="clear" w:color="auto" w:fill="auto"/>
            <w:vAlign w:val="center"/>
            <w:hideMark/>
          </w:tcPr>
          <w:p w14:paraId="2291EB9E" w14:textId="53CD5D0F"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-0.511646</w:t>
            </w:r>
          </w:p>
        </w:tc>
        <w:tc>
          <w:tcPr>
            <w:tcW w:w="1300" w:type="dxa"/>
            <w:tcBorders>
              <w:top w:val="nil"/>
              <w:left w:val="nil"/>
              <w:bottom w:val="single" w:sz="4" w:space="0" w:color="auto"/>
              <w:right w:val="single" w:sz="4" w:space="0" w:color="auto"/>
            </w:tcBorders>
            <w:shd w:val="clear" w:color="auto" w:fill="auto"/>
            <w:vAlign w:val="center"/>
            <w:hideMark/>
          </w:tcPr>
          <w:p w14:paraId="5308C45E"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0.5557</w:t>
            </w:r>
          </w:p>
        </w:tc>
        <w:tc>
          <w:tcPr>
            <w:tcW w:w="1780" w:type="dxa"/>
            <w:tcBorders>
              <w:top w:val="nil"/>
              <w:left w:val="nil"/>
              <w:bottom w:val="single" w:sz="4" w:space="0" w:color="auto"/>
              <w:right w:val="single" w:sz="4" w:space="0" w:color="auto"/>
            </w:tcBorders>
            <w:shd w:val="clear" w:color="auto" w:fill="auto"/>
            <w:vAlign w:val="center"/>
            <w:hideMark/>
          </w:tcPr>
          <w:p w14:paraId="12623E4A"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Tidak Signifikan</w:t>
            </w:r>
          </w:p>
        </w:tc>
      </w:tr>
      <w:tr w:rsidR="00A76E61" w:rsidRPr="00A76E61" w14:paraId="448A923E" w14:textId="77777777" w:rsidTr="00A76E61">
        <w:trPr>
          <w:trHeight w:val="24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C2C724" w14:textId="77777777" w:rsidR="00A76E61" w:rsidRPr="00A76E61" w:rsidRDefault="00A76E61" w:rsidP="00A76E61">
            <w:pPr>
              <w:spacing w:after="0" w:line="240" w:lineRule="auto"/>
              <w:rPr>
                <w:rFonts w:ascii="Arial" w:eastAsia="Times New Roman" w:hAnsi="Arial" w:cs="Arial"/>
                <w:color w:val="000000"/>
                <w:sz w:val="20"/>
                <w:szCs w:val="20"/>
                <w:lang w:val="id-ID" w:eastAsia="id-ID"/>
              </w:rPr>
            </w:pPr>
            <w:r w:rsidRPr="00A76E61">
              <w:rPr>
                <w:rFonts w:ascii="Arial" w:eastAsia="Times New Roman" w:hAnsi="Arial" w:cs="Arial"/>
                <w:color w:val="000000"/>
                <w:sz w:val="20"/>
                <w:szCs w:val="20"/>
                <w:lang w:val="id-ID" w:eastAsia="id-ID"/>
              </w:rPr>
              <w:t>AGE</w:t>
            </w:r>
          </w:p>
        </w:tc>
        <w:tc>
          <w:tcPr>
            <w:tcW w:w="4280" w:type="dxa"/>
            <w:tcBorders>
              <w:top w:val="nil"/>
              <w:left w:val="nil"/>
              <w:bottom w:val="single" w:sz="4" w:space="0" w:color="auto"/>
              <w:right w:val="single" w:sz="4" w:space="0" w:color="auto"/>
            </w:tcBorders>
            <w:shd w:val="clear" w:color="auto" w:fill="auto"/>
            <w:vAlign w:val="center"/>
            <w:hideMark/>
          </w:tcPr>
          <w:p w14:paraId="695E8EB6" w14:textId="1FB01819"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2.474.030</w:t>
            </w:r>
          </w:p>
        </w:tc>
        <w:tc>
          <w:tcPr>
            <w:tcW w:w="1300" w:type="dxa"/>
            <w:tcBorders>
              <w:top w:val="nil"/>
              <w:left w:val="nil"/>
              <w:bottom w:val="single" w:sz="4" w:space="0" w:color="auto"/>
              <w:right w:val="single" w:sz="4" w:space="0" w:color="auto"/>
            </w:tcBorders>
            <w:shd w:val="clear" w:color="auto" w:fill="auto"/>
            <w:vAlign w:val="center"/>
            <w:hideMark/>
          </w:tcPr>
          <w:p w14:paraId="6B95C5C4"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0.0004</w:t>
            </w:r>
          </w:p>
        </w:tc>
        <w:tc>
          <w:tcPr>
            <w:tcW w:w="1780" w:type="dxa"/>
            <w:tcBorders>
              <w:top w:val="nil"/>
              <w:left w:val="nil"/>
              <w:bottom w:val="single" w:sz="4" w:space="0" w:color="auto"/>
              <w:right w:val="single" w:sz="4" w:space="0" w:color="auto"/>
            </w:tcBorders>
            <w:shd w:val="clear" w:color="auto" w:fill="auto"/>
            <w:vAlign w:val="center"/>
            <w:hideMark/>
          </w:tcPr>
          <w:p w14:paraId="6BD0CE63" w14:textId="77777777" w:rsidR="00A76E61" w:rsidRPr="00A76E61" w:rsidRDefault="00A76E61" w:rsidP="00A76E61">
            <w:pPr>
              <w:spacing w:after="0" w:line="240" w:lineRule="auto"/>
              <w:jc w:val="both"/>
              <w:rPr>
                <w:rFonts w:ascii="Times New Roman" w:eastAsia="Times New Roman" w:hAnsi="Times New Roman" w:cs="Times New Roman"/>
                <w:color w:val="000000"/>
                <w:sz w:val="20"/>
                <w:szCs w:val="20"/>
                <w:lang w:val="id-ID" w:eastAsia="id-ID"/>
              </w:rPr>
            </w:pPr>
            <w:r w:rsidRPr="00A76E61">
              <w:rPr>
                <w:rFonts w:ascii="Times New Roman" w:eastAsia="Calibri" w:hAnsi="Times New Roman" w:cs="Times New Roman"/>
                <w:color w:val="000000"/>
                <w:sz w:val="20"/>
                <w:szCs w:val="20"/>
                <w:lang w:eastAsia="id-ID"/>
              </w:rPr>
              <w:t>Positif Signifikan</w:t>
            </w:r>
          </w:p>
        </w:tc>
      </w:tr>
    </w:tbl>
    <w:p w14:paraId="315BEB55" w14:textId="2725B1E3" w:rsidR="001265A8" w:rsidRDefault="001265A8" w:rsidP="001265A8">
      <w:pPr>
        <w:pStyle w:val="NoSpacing"/>
        <w:spacing w:before="200" w:after="120" w:line="276" w:lineRule="auto"/>
        <w:jc w:val="both"/>
        <w:rPr>
          <w:rFonts w:ascii="Times New Roman" w:eastAsia="Calibri" w:hAnsi="Times New Roman" w:cs="Times New Roman"/>
          <w:b/>
          <w:sz w:val="24"/>
          <w:szCs w:val="24"/>
        </w:rPr>
      </w:pPr>
      <w:r w:rsidRPr="00120D3D">
        <w:rPr>
          <w:rFonts w:ascii="Times New Roman" w:eastAsia="Calibri" w:hAnsi="Times New Roman" w:cs="Times New Roman"/>
          <w:b/>
          <w:sz w:val="24"/>
          <w:szCs w:val="24"/>
        </w:rPr>
        <w:t xml:space="preserve">Terdapat pengaruh </w:t>
      </w:r>
      <w:r w:rsidRPr="00120D3D">
        <w:rPr>
          <w:rFonts w:ascii="Times New Roman" w:eastAsia="Calibri" w:hAnsi="Times New Roman" w:cs="Times New Roman"/>
          <w:b/>
          <w:i/>
          <w:sz w:val="24"/>
          <w:szCs w:val="24"/>
        </w:rPr>
        <w:t>size</w:t>
      </w:r>
      <w:r w:rsidRPr="00120D3D">
        <w:rPr>
          <w:rFonts w:ascii="Times New Roman" w:eastAsia="Calibri" w:hAnsi="Times New Roman" w:cs="Times New Roman"/>
          <w:b/>
          <w:sz w:val="24"/>
          <w:szCs w:val="24"/>
        </w:rPr>
        <w:t xml:space="preserve"> terhad</w:t>
      </w:r>
      <w:r>
        <w:rPr>
          <w:rFonts w:ascii="Times New Roman" w:eastAsia="Calibri" w:hAnsi="Times New Roman" w:cs="Times New Roman"/>
          <w:b/>
          <w:sz w:val="24"/>
          <w:szCs w:val="24"/>
        </w:rPr>
        <w:t>ap kebijakan pembayaran dividen</w:t>
      </w:r>
    </w:p>
    <w:p w14:paraId="52872F12" w14:textId="2AE42E8C" w:rsidR="001265A8" w:rsidRDefault="001265A8" w:rsidP="001265A8">
      <w:pPr>
        <w:pStyle w:val="NoSpacing"/>
        <w:spacing w:before="200" w:after="120" w:line="276" w:lineRule="auto"/>
        <w:jc w:val="both"/>
        <w:rPr>
          <w:rFonts w:ascii="Times New Roman" w:eastAsia="Times New Roman" w:hAnsi="Times New Roman" w:cs="Times New Roman"/>
          <w:sz w:val="24"/>
          <w:szCs w:val="24"/>
          <w:lang w:val="id-ID"/>
        </w:rPr>
      </w:pPr>
      <w:r w:rsidRPr="001265A8">
        <w:rPr>
          <w:rFonts w:ascii="Times New Roman" w:eastAsia="Times New Roman" w:hAnsi="Times New Roman" w:cs="Times New Roman"/>
          <w:sz w:val="24"/>
          <w:szCs w:val="24"/>
          <w:lang w:val="id-ID"/>
        </w:rPr>
        <w:t xml:space="preserve">Hasil pengujian statistik menunjukkan besarnya nilai sig. </w:t>
      </w:r>
      <w:r w:rsidRPr="001265A8">
        <w:rPr>
          <w:rFonts w:ascii="Times New Roman" w:eastAsia="Times New Roman" w:hAnsi="Times New Roman" w:cs="Times New Roman"/>
          <w:i/>
          <w:sz w:val="24"/>
          <w:szCs w:val="24"/>
          <w:lang w:val="id-ID"/>
        </w:rPr>
        <w:t xml:space="preserve">size </w:t>
      </w:r>
      <w:r w:rsidR="00A76E61">
        <w:rPr>
          <w:rFonts w:ascii="Times New Roman" w:eastAsia="Times New Roman" w:hAnsi="Times New Roman" w:cs="Times New Roman"/>
          <w:sz w:val="24"/>
          <w:szCs w:val="24"/>
          <w:lang w:val="id-ID"/>
        </w:rPr>
        <w:t xml:space="preserve">yaitu sebesar 0.0414 </w:t>
      </w:r>
      <w:r w:rsidRPr="001265A8">
        <w:rPr>
          <w:rFonts w:ascii="Times New Roman" w:eastAsia="Times New Roman" w:hAnsi="Times New Roman" w:cs="Times New Roman"/>
          <w:sz w:val="24"/>
          <w:szCs w:val="24"/>
          <w:lang w:val="id-ID"/>
        </w:rPr>
        <w:t xml:space="preserve">&lt; 0.05 (α = 5%) dan besarnya koefisien kebijakan pembayaran dividen yaitu sebesar -0.246645. Maka dapat </w:t>
      </w:r>
      <w:r w:rsidR="00A76E61">
        <w:rPr>
          <w:rFonts w:ascii="Times New Roman" w:eastAsia="Times New Roman" w:hAnsi="Times New Roman" w:cs="Times New Roman"/>
          <w:sz w:val="24"/>
          <w:szCs w:val="24"/>
          <w:lang w:val="id-ID"/>
        </w:rPr>
        <w:t xml:space="preserve"> </w:t>
      </w:r>
      <w:r w:rsidRPr="001265A8">
        <w:rPr>
          <w:rFonts w:ascii="Times New Roman" w:eastAsia="Times New Roman" w:hAnsi="Times New Roman" w:cs="Times New Roman"/>
          <w:sz w:val="24"/>
          <w:szCs w:val="24"/>
          <w:lang w:val="id-ID"/>
        </w:rPr>
        <w:t xml:space="preserve">disimpulkan bahwa Ho ditolak dan Ha diterima yang menunjukkan bahwa </w:t>
      </w:r>
      <w:r w:rsidRPr="001265A8">
        <w:rPr>
          <w:rFonts w:ascii="Times New Roman" w:eastAsia="Times New Roman" w:hAnsi="Times New Roman" w:cs="Times New Roman"/>
          <w:i/>
          <w:sz w:val="24"/>
          <w:szCs w:val="24"/>
          <w:lang w:val="id-ID"/>
        </w:rPr>
        <w:t>size</w:t>
      </w:r>
      <w:r w:rsidRPr="001265A8">
        <w:rPr>
          <w:rFonts w:ascii="Times New Roman" w:eastAsia="Times New Roman" w:hAnsi="Times New Roman" w:cs="Times New Roman"/>
          <w:sz w:val="24"/>
          <w:szCs w:val="24"/>
          <w:lang w:val="id-ID"/>
        </w:rPr>
        <w:t xml:space="preserve"> berpengaruh negatif terhadap kebijakan pembayaran dividen yang berbanding terbalik dengan hasil penelitian Budagaga, </w:t>
      </w:r>
      <w:r w:rsidRPr="001265A8">
        <w:rPr>
          <w:rFonts w:ascii="Times New Roman" w:eastAsia="Times New Roman" w:hAnsi="Times New Roman" w:cs="Times New Roman"/>
          <w:sz w:val="24"/>
          <w:szCs w:val="24"/>
          <w:lang w:val="id-ID"/>
        </w:rPr>
        <w:lastRenderedPageBreak/>
        <w:t xml:space="preserve">(2020) yang menyatakan bahwa </w:t>
      </w:r>
      <w:r w:rsidRPr="001265A8">
        <w:rPr>
          <w:rFonts w:ascii="Times New Roman" w:eastAsia="Times New Roman" w:hAnsi="Times New Roman" w:cs="Times New Roman"/>
          <w:i/>
          <w:sz w:val="24"/>
          <w:szCs w:val="24"/>
          <w:lang w:val="id-ID"/>
        </w:rPr>
        <w:t>size</w:t>
      </w:r>
      <w:r w:rsidRPr="001265A8">
        <w:rPr>
          <w:rFonts w:ascii="Times New Roman" w:eastAsia="Times New Roman" w:hAnsi="Times New Roman" w:cs="Times New Roman"/>
          <w:sz w:val="24"/>
          <w:szCs w:val="24"/>
          <w:lang w:val="id-ID"/>
        </w:rPr>
        <w:t xml:space="preserve"> berpengaruh positif terhadap kebijakan pembayaran dividen. Hasil penelitian ini didukung oleh penelitian yang dilakukan oleh Pribadi &amp; Sampurno (2012) yang membuktikan bahwa </w:t>
      </w:r>
      <w:r w:rsidRPr="001265A8">
        <w:rPr>
          <w:rFonts w:ascii="Times New Roman" w:eastAsia="Times New Roman" w:hAnsi="Times New Roman" w:cs="Times New Roman"/>
          <w:i/>
          <w:sz w:val="24"/>
          <w:szCs w:val="24"/>
          <w:lang w:val="id-ID"/>
        </w:rPr>
        <w:t>firm’ size</w:t>
      </w:r>
      <w:r w:rsidRPr="001265A8">
        <w:rPr>
          <w:rFonts w:ascii="Times New Roman" w:eastAsia="Times New Roman" w:hAnsi="Times New Roman" w:cs="Times New Roman"/>
          <w:sz w:val="24"/>
          <w:szCs w:val="24"/>
          <w:lang w:val="id-ID"/>
        </w:rPr>
        <w:t xml:space="preserve"> memiliki pengaruh negatif signifikan terhadap kebijakan pembayaran dividen perusahaan, maka semakin besar ukuran suatu perusahaan akan mengurangi kebijakan perusahaan dalam melakukan pembayaran dividen.</w:t>
      </w:r>
    </w:p>
    <w:p w14:paraId="65FF458C" w14:textId="33C18627" w:rsidR="001265A8" w:rsidRDefault="001265A8" w:rsidP="001265A8">
      <w:pPr>
        <w:pStyle w:val="NoSpacing"/>
        <w:spacing w:before="200" w:after="120" w:line="276" w:lineRule="auto"/>
        <w:jc w:val="both"/>
        <w:rPr>
          <w:rFonts w:ascii="Times New Roman" w:eastAsia="Calibri" w:hAnsi="Times New Roman" w:cs="Times New Roman"/>
          <w:b/>
          <w:sz w:val="24"/>
          <w:szCs w:val="24"/>
        </w:rPr>
      </w:pPr>
      <w:r w:rsidRPr="00120D3D">
        <w:rPr>
          <w:rFonts w:ascii="Times New Roman" w:eastAsia="Calibri" w:hAnsi="Times New Roman" w:cs="Times New Roman"/>
          <w:b/>
          <w:sz w:val="24"/>
          <w:szCs w:val="24"/>
        </w:rPr>
        <w:t xml:space="preserve">Terdapat pengaruh </w:t>
      </w:r>
      <w:r w:rsidRPr="00120D3D">
        <w:rPr>
          <w:rFonts w:ascii="Times New Roman" w:eastAsia="Calibri" w:hAnsi="Times New Roman" w:cs="Times New Roman"/>
          <w:b/>
          <w:i/>
          <w:sz w:val="24"/>
          <w:szCs w:val="24"/>
        </w:rPr>
        <w:t>profitability</w:t>
      </w:r>
      <w:r w:rsidRPr="00120D3D">
        <w:rPr>
          <w:rFonts w:ascii="Times New Roman" w:eastAsia="Calibri" w:hAnsi="Times New Roman" w:cs="Times New Roman"/>
          <w:b/>
          <w:sz w:val="24"/>
          <w:szCs w:val="24"/>
        </w:rPr>
        <w:t xml:space="preserve"> terhad</w:t>
      </w:r>
      <w:r>
        <w:rPr>
          <w:rFonts w:ascii="Times New Roman" w:eastAsia="Calibri" w:hAnsi="Times New Roman" w:cs="Times New Roman"/>
          <w:b/>
          <w:sz w:val="24"/>
          <w:szCs w:val="24"/>
        </w:rPr>
        <w:t>ap kebijakan pembayaran dividen</w:t>
      </w:r>
    </w:p>
    <w:p w14:paraId="7E879DE6" w14:textId="1B2FD8F7" w:rsidR="001265A8" w:rsidRDefault="001265A8" w:rsidP="001265A8">
      <w:pPr>
        <w:pStyle w:val="NoSpacing"/>
        <w:spacing w:before="200" w:after="120" w:line="276" w:lineRule="auto"/>
        <w:jc w:val="both"/>
        <w:rPr>
          <w:rFonts w:ascii="Times New Roman" w:eastAsia="Times New Roman" w:hAnsi="Times New Roman" w:cs="Times New Roman"/>
          <w:sz w:val="24"/>
          <w:szCs w:val="24"/>
          <w:lang w:val="id-ID"/>
        </w:rPr>
      </w:pPr>
      <w:r w:rsidRPr="001265A8">
        <w:rPr>
          <w:rFonts w:ascii="Times New Roman" w:eastAsia="Times New Roman" w:hAnsi="Times New Roman" w:cs="Times New Roman"/>
          <w:sz w:val="24"/>
          <w:szCs w:val="24"/>
          <w:lang w:val="id-ID"/>
        </w:rPr>
        <w:t xml:space="preserve">Hasil pengujian statistik menunjukkan besarnya nilai sig. </w:t>
      </w:r>
      <w:r w:rsidRPr="001265A8">
        <w:rPr>
          <w:rFonts w:ascii="Times New Roman" w:eastAsia="Times New Roman" w:hAnsi="Times New Roman" w:cs="Times New Roman"/>
          <w:i/>
          <w:sz w:val="24"/>
          <w:szCs w:val="24"/>
          <w:lang w:val="id-ID"/>
        </w:rPr>
        <w:t>profitability</w:t>
      </w:r>
      <w:r w:rsidRPr="001265A8">
        <w:rPr>
          <w:rFonts w:ascii="Times New Roman" w:eastAsia="Times New Roman" w:hAnsi="Times New Roman" w:cs="Times New Roman"/>
          <w:sz w:val="24"/>
          <w:szCs w:val="24"/>
          <w:lang w:val="id-ID"/>
        </w:rPr>
        <w:t xml:space="preserve"> yaitu sebesar 0.0211 &lt; 0.05 (α = 5%) dan besarnya koefisien kebijakan pembayaran dividen yaitu sebesar -1.375126. Maka dapat disimpulkan bahwa Ho ditolak dan Ha diterima yang menunjukkan bahwa profitability berpengaruh negatif terhadap kebijakan pembayaran negatif yang berbanding terbalik dengan hasil penelitian Budagaga, (2020) yang menyatakan bahwa </w:t>
      </w:r>
      <w:r w:rsidRPr="001265A8">
        <w:rPr>
          <w:rFonts w:ascii="Times New Roman" w:eastAsia="Times New Roman" w:hAnsi="Times New Roman" w:cs="Times New Roman"/>
          <w:i/>
          <w:sz w:val="24"/>
          <w:szCs w:val="24"/>
          <w:lang w:val="id-ID"/>
        </w:rPr>
        <w:t>profitability</w:t>
      </w:r>
      <w:r w:rsidRPr="001265A8">
        <w:rPr>
          <w:rFonts w:ascii="Times New Roman" w:eastAsia="Times New Roman" w:hAnsi="Times New Roman" w:cs="Times New Roman"/>
          <w:sz w:val="24"/>
          <w:szCs w:val="24"/>
          <w:lang w:val="id-ID"/>
        </w:rPr>
        <w:t xml:space="preserve"> berpengaruh positif terhadap kebijakan pembayaran dividen. Hasil penelitian ini didukung oleh penelitian yang dilakukan oleh Khan dkk (2016), Sahaidi., L (2020) yang membuktikan bahwa perusahaan yang memiliki profitabilitas tinggi akan cenderung menahan laba mereka untuk mendapatkan profit yang lebih besar sehingga dividen yang akan dibayarkan kepada pemegang saham akan menjadi berkurang. Oleh karena itu profitability berpengaruh terhadap kebijakan pembayaran dividen.</w:t>
      </w:r>
    </w:p>
    <w:p w14:paraId="0D6975BE" w14:textId="77777777" w:rsidR="00DC7973" w:rsidRDefault="00DC7973" w:rsidP="001265A8">
      <w:pPr>
        <w:pStyle w:val="NoSpacing"/>
        <w:spacing w:before="200" w:after="120" w:line="276" w:lineRule="auto"/>
        <w:jc w:val="both"/>
        <w:rPr>
          <w:rFonts w:ascii="Times New Roman" w:eastAsia="Times New Roman" w:hAnsi="Times New Roman" w:cs="Times New Roman"/>
          <w:b/>
          <w:sz w:val="24"/>
          <w:szCs w:val="24"/>
          <w:lang w:val="id-ID"/>
        </w:rPr>
      </w:pPr>
    </w:p>
    <w:p w14:paraId="15A33534" w14:textId="3E427AFC" w:rsidR="001265A8" w:rsidRDefault="001265A8" w:rsidP="001265A8">
      <w:pPr>
        <w:pStyle w:val="NoSpacing"/>
        <w:spacing w:before="200" w:after="120" w:line="276" w:lineRule="auto"/>
        <w:jc w:val="both"/>
        <w:rPr>
          <w:rFonts w:ascii="Times New Roman" w:eastAsia="Times New Roman" w:hAnsi="Times New Roman" w:cs="Times New Roman"/>
          <w:b/>
          <w:sz w:val="24"/>
          <w:szCs w:val="24"/>
          <w:lang w:val="id-ID"/>
        </w:rPr>
      </w:pPr>
      <w:r w:rsidRPr="001265A8">
        <w:rPr>
          <w:rFonts w:ascii="Times New Roman" w:eastAsia="Times New Roman" w:hAnsi="Times New Roman" w:cs="Times New Roman"/>
          <w:b/>
          <w:sz w:val="24"/>
          <w:szCs w:val="24"/>
          <w:lang w:val="id-ID"/>
        </w:rPr>
        <w:lastRenderedPageBreak/>
        <w:t xml:space="preserve">Terdapat pengaruh </w:t>
      </w:r>
      <w:r w:rsidRPr="001265A8">
        <w:rPr>
          <w:rFonts w:ascii="Times New Roman" w:eastAsia="Times New Roman" w:hAnsi="Times New Roman" w:cs="Times New Roman"/>
          <w:b/>
          <w:i/>
          <w:sz w:val="24"/>
          <w:szCs w:val="24"/>
          <w:lang w:val="id-ID"/>
        </w:rPr>
        <w:t>Capital Adequacy Ratio</w:t>
      </w:r>
      <w:r w:rsidRPr="001265A8">
        <w:rPr>
          <w:rFonts w:ascii="Times New Roman" w:eastAsia="Times New Roman" w:hAnsi="Times New Roman" w:cs="Times New Roman"/>
          <w:b/>
          <w:sz w:val="24"/>
          <w:szCs w:val="24"/>
          <w:lang w:val="id-ID"/>
        </w:rPr>
        <w:t xml:space="preserve"> terhad</w:t>
      </w:r>
      <w:r>
        <w:rPr>
          <w:rFonts w:ascii="Times New Roman" w:eastAsia="Times New Roman" w:hAnsi="Times New Roman" w:cs="Times New Roman"/>
          <w:b/>
          <w:sz w:val="24"/>
          <w:szCs w:val="24"/>
          <w:lang w:val="id-ID"/>
        </w:rPr>
        <w:t>ap kebijakan pembayaran dividen</w:t>
      </w:r>
    </w:p>
    <w:p w14:paraId="0872FC37" w14:textId="7ADFC858" w:rsidR="001265A8" w:rsidRDefault="001265A8" w:rsidP="001265A8">
      <w:pPr>
        <w:pStyle w:val="NoSpacing"/>
        <w:spacing w:before="200" w:after="120" w:line="276" w:lineRule="auto"/>
        <w:jc w:val="both"/>
        <w:rPr>
          <w:rFonts w:ascii="Times New Roman" w:eastAsia="Calibri" w:hAnsi="Times New Roman" w:cs="Times New Roman"/>
          <w:sz w:val="24"/>
          <w:szCs w:val="24"/>
          <w:lang w:val="id-ID"/>
        </w:rPr>
      </w:pPr>
      <w:r w:rsidRPr="00120D3D">
        <w:rPr>
          <w:rFonts w:ascii="Times New Roman" w:eastAsia="Calibri" w:hAnsi="Times New Roman" w:cs="Times New Roman"/>
          <w:sz w:val="24"/>
          <w:szCs w:val="24"/>
        </w:rPr>
        <w:t xml:space="preserve">Hasil pengujian statistik menunjukkan besarnya nilai sig. </w:t>
      </w:r>
      <w:r w:rsidRPr="00120D3D">
        <w:rPr>
          <w:rFonts w:ascii="Times New Roman" w:eastAsia="Calibri" w:hAnsi="Times New Roman" w:cs="Times New Roman"/>
          <w:i/>
          <w:sz w:val="24"/>
          <w:szCs w:val="24"/>
        </w:rPr>
        <w:t xml:space="preserve">capital adequacy ratio </w:t>
      </w:r>
      <w:r w:rsidRPr="00120D3D">
        <w:rPr>
          <w:rFonts w:ascii="Times New Roman" w:eastAsia="Calibri" w:hAnsi="Times New Roman" w:cs="Times New Roman"/>
          <w:sz w:val="24"/>
          <w:szCs w:val="24"/>
        </w:rPr>
        <w:t>yaitu sebesar 0.7177 &gt; 0.05 (</w:t>
      </w:r>
      <w:r w:rsidRPr="00120D3D">
        <w:rPr>
          <w:rFonts w:ascii="Times New Roman" w:eastAsia="Calibri" w:hAnsi="Times New Roman" w:cs="Times New Roman"/>
          <w:color w:val="231F20"/>
          <w:sz w:val="24"/>
          <w:szCs w:val="24"/>
        </w:rPr>
        <w:t xml:space="preserve">α = 5%) dan besarnya koefisien kebijakan pembayaran dividen yaitu sebesar </w:t>
      </w:r>
      <w:r w:rsidRPr="00120D3D">
        <w:rPr>
          <w:rFonts w:ascii="Times New Roman" w:eastAsia="Calibri" w:hAnsi="Times New Roman" w:cs="Times New Roman"/>
          <w:sz w:val="24"/>
          <w:szCs w:val="24"/>
        </w:rPr>
        <w:t xml:space="preserve">-1.375126. Maka dapat disimpulkan bahwa </w:t>
      </w:r>
      <w:r w:rsidRPr="00120D3D">
        <w:rPr>
          <w:rFonts w:ascii="Times New Roman" w:eastAsia="Calibri" w:hAnsi="Times New Roman" w:cs="Times New Roman"/>
          <w:color w:val="231F20"/>
          <w:sz w:val="24"/>
          <w:szCs w:val="24"/>
        </w:rPr>
        <w:t>H</w:t>
      </w:r>
      <w:r w:rsidRPr="00120D3D">
        <w:rPr>
          <w:rFonts w:ascii="Times New Roman" w:eastAsia="Calibri" w:hAnsi="Times New Roman" w:cs="Times New Roman"/>
          <w:color w:val="231F20"/>
          <w:sz w:val="24"/>
          <w:szCs w:val="24"/>
          <w:vertAlign w:val="subscript"/>
        </w:rPr>
        <w:t xml:space="preserve">o </w:t>
      </w:r>
      <w:r w:rsidRPr="00120D3D">
        <w:rPr>
          <w:rFonts w:ascii="Times New Roman" w:eastAsia="Calibri" w:hAnsi="Times New Roman" w:cs="Times New Roman"/>
          <w:color w:val="231F20"/>
          <w:sz w:val="24"/>
          <w:szCs w:val="24"/>
        </w:rPr>
        <w:t>diterima dan H</w:t>
      </w:r>
      <w:r w:rsidRPr="00120D3D">
        <w:rPr>
          <w:rFonts w:ascii="Times New Roman" w:eastAsia="Calibri" w:hAnsi="Times New Roman" w:cs="Times New Roman"/>
          <w:color w:val="231F20"/>
          <w:sz w:val="24"/>
          <w:szCs w:val="24"/>
          <w:vertAlign w:val="subscript"/>
        </w:rPr>
        <w:t xml:space="preserve">a </w:t>
      </w:r>
      <w:r w:rsidRPr="00120D3D">
        <w:rPr>
          <w:rFonts w:ascii="Times New Roman" w:eastAsia="Calibri" w:hAnsi="Times New Roman" w:cs="Times New Roman"/>
          <w:color w:val="231F20"/>
          <w:sz w:val="24"/>
          <w:szCs w:val="24"/>
        </w:rPr>
        <w:t xml:space="preserve">ditolak yang menunjukkan </w:t>
      </w:r>
      <w:r w:rsidRPr="00120D3D">
        <w:rPr>
          <w:rFonts w:ascii="Times New Roman" w:eastAsia="Calibri" w:hAnsi="Times New Roman" w:cs="Times New Roman"/>
          <w:sz w:val="24"/>
          <w:szCs w:val="24"/>
          <w:lang w:val="id-ID"/>
        </w:rPr>
        <w:t>bahwa tidak terdapat pengaruh signifikan</w:t>
      </w:r>
      <w:r w:rsidRPr="00120D3D">
        <w:rPr>
          <w:rFonts w:ascii="Times New Roman" w:eastAsia="Calibri" w:hAnsi="Times New Roman" w:cs="Times New Roman"/>
          <w:sz w:val="24"/>
          <w:szCs w:val="24"/>
        </w:rPr>
        <w:t xml:space="preserve"> </w:t>
      </w:r>
      <w:r w:rsidRPr="00120D3D">
        <w:rPr>
          <w:rFonts w:ascii="Times New Roman" w:eastAsia="Calibri" w:hAnsi="Times New Roman" w:cs="Times New Roman"/>
          <w:i/>
          <w:sz w:val="24"/>
          <w:szCs w:val="24"/>
        </w:rPr>
        <w:t>Capital Adequacy Ratio</w:t>
      </w:r>
      <w:r w:rsidRPr="00120D3D">
        <w:rPr>
          <w:rFonts w:ascii="Times New Roman" w:eastAsia="Calibri" w:hAnsi="Times New Roman" w:cs="Times New Roman"/>
          <w:sz w:val="24"/>
          <w:szCs w:val="24"/>
        </w:rPr>
        <w:t xml:space="preserve"> (CAR)</w:t>
      </w:r>
      <w:r w:rsidRPr="00120D3D">
        <w:rPr>
          <w:rFonts w:ascii="Times New Roman" w:eastAsia="Calibri" w:hAnsi="Times New Roman" w:cs="Times New Roman"/>
          <w:i/>
          <w:sz w:val="24"/>
          <w:szCs w:val="24"/>
        </w:rPr>
        <w:t xml:space="preserve"> </w:t>
      </w:r>
      <w:r w:rsidRPr="00120D3D">
        <w:rPr>
          <w:rFonts w:ascii="Times New Roman" w:eastAsia="Calibri" w:hAnsi="Times New Roman" w:cs="Times New Roman"/>
          <w:sz w:val="24"/>
          <w:szCs w:val="24"/>
          <w:lang w:val="id-ID"/>
        </w:rPr>
        <w:t xml:space="preserve">terhadap </w:t>
      </w:r>
      <w:r w:rsidRPr="00120D3D">
        <w:rPr>
          <w:rFonts w:ascii="Times New Roman" w:eastAsia="Calibri" w:hAnsi="Times New Roman" w:cs="Times New Roman"/>
          <w:sz w:val="24"/>
          <w:szCs w:val="24"/>
        </w:rPr>
        <w:t>kebijakan pembayaran dividen, hal ini bertentangan dengan penelitian yang dilakukan oleh Budgaga (2020) yang men</w:t>
      </w:r>
      <w:r w:rsidRPr="00120D3D">
        <w:rPr>
          <w:rFonts w:ascii="Times New Roman" w:eastAsia="Calibri" w:hAnsi="Times New Roman" w:cs="Times New Roman"/>
          <w:sz w:val="24"/>
          <w:szCs w:val="24"/>
          <w:lang w:val="id-ID"/>
        </w:rPr>
        <w:t xml:space="preserve">yatakan </w:t>
      </w:r>
      <w:r w:rsidRPr="00120D3D">
        <w:rPr>
          <w:rFonts w:ascii="Times New Roman" w:eastAsia="Calibri" w:hAnsi="Times New Roman" w:cs="Times New Roman"/>
          <w:sz w:val="24"/>
          <w:szCs w:val="24"/>
        </w:rPr>
        <w:t xml:space="preserve">bahwa </w:t>
      </w:r>
      <w:r w:rsidRPr="00120D3D">
        <w:rPr>
          <w:rFonts w:ascii="Times New Roman" w:eastAsia="Calibri" w:hAnsi="Times New Roman" w:cs="Times New Roman"/>
          <w:i/>
          <w:sz w:val="24"/>
          <w:szCs w:val="24"/>
        </w:rPr>
        <w:t xml:space="preserve">Capital Adequacy Ratio </w:t>
      </w:r>
      <w:r w:rsidRPr="00120D3D">
        <w:rPr>
          <w:rFonts w:ascii="Times New Roman" w:eastAsia="Calibri" w:hAnsi="Times New Roman" w:cs="Times New Roman"/>
          <w:sz w:val="24"/>
          <w:szCs w:val="24"/>
        </w:rPr>
        <w:t xml:space="preserve">(CAR) memiliki pengaruh positif terhadap kebijakan pembayaran dividen oleh bank. </w:t>
      </w:r>
      <w:r w:rsidRPr="00120D3D">
        <w:rPr>
          <w:rFonts w:ascii="Times New Roman" w:eastAsia="Calibri" w:hAnsi="Times New Roman" w:cs="Times New Roman"/>
          <w:sz w:val="24"/>
          <w:szCs w:val="24"/>
          <w:lang w:val="id-ID"/>
        </w:rPr>
        <w:t>H</w:t>
      </w:r>
      <w:r w:rsidRPr="00120D3D">
        <w:rPr>
          <w:rFonts w:ascii="Times New Roman" w:eastAsia="Calibri" w:hAnsi="Times New Roman" w:cs="Times New Roman"/>
          <w:sz w:val="24"/>
          <w:szCs w:val="24"/>
        </w:rPr>
        <w:t xml:space="preserve">asil </w:t>
      </w:r>
      <w:r w:rsidRPr="00120D3D">
        <w:rPr>
          <w:rFonts w:ascii="Times New Roman" w:eastAsia="Calibri" w:hAnsi="Times New Roman" w:cs="Times New Roman"/>
          <w:sz w:val="24"/>
          <w:szCs w:val="24"/>
          <w:lang w:val="id-ID"/>
        </w:rPr>
        <w:t xml:space="preserve">penelitian ini didukung oleh penelitian yang dilakukan oleh </w:t>
      </w:r>
      <w:r w:rsidRPr="00120D3D">
        <w:rPr>
          <w:rFonts w:ascii="Times New Roman" w:eastAsia="Calibri" w:hAnsi="Times New Roman" w:cs="Times New Roman"/>
          <w:sz w:val="24"/>
          <w:szCs w:val="24"/>
          <w:lang w:val="id-ID"/>
        </w:rPr>
        <w:fldChar w:fldCharType="begin" w:fldLock="1"/>
      </w:r>
      <w:r w:rsidRPr="00120D3D">
        <w:rPr>
          <w:rFonts w:ascii="Times New Roman" w:eastAsia="Calibri" w:hAnsi="Times New Roman" w:cs="Times New Roman"/>
          <w:sz w:val="24"/>
          <w:szCs w:val="24"/>
          <w:lang w:val="id-ID"/>
        </w:rPr>
        <w:instrText>ADDIN CSL_CITATION {"citationItems":[{"id":"ITEM-1","itemData":{"abstract":"This paper is investigating determinants of dividend payout ratio in Indonesia listed banking for year 2012-2018. Dividend is important factors for investors make decision whether to buy or sell shares especially shares in banking industry. Banking industry is essential financial institution for a country and its growth is very important. This paper address on what should be look for determinants of Dividend Payout Ratio for banking industry. Not many papers investigate Dividend Payout Ratio in Indonesian banking industry. Independent variables are factors Loan Deposit Ratio (LDR), Capital Adequacy Ratio (CAR) and Return on Equity (ROE). As literature reveals many contradictions in dividend theory, we investigated which factors effect on banking industry listed in Indonesian Stock Exchange. Sample is selected using purposive sampling with total 10 banks meet criteria. Analyses method used in this paper is multiple regression using E-views version 9.0 and the model is Fixed Effect. Regression results are LDR and ROE affect Dividend Payout Ratio. We suggest bank can manage its LDR ratio wisely since LDR is a source of revenues for bank, while ROE ratio must be assessed regularly because ROE is a measurement how well bank uses its resources to generate profit. Implication on this paper are first, good banking can manage its LDR efficiently because different between Loan and Deposit is profit for the bank, secondly, ROE is profit and consistently effect on dividend. Hence investors should invest on banking industry with consistently yield profit","author":[{"dropping-particle":"","family":"Dewi","given":"Kartika","non-dropping-particle":"","parse-names":false,"suffix":""},{"dropping-particle":"","family":"Pariang","given":"Siagian","non-dropping-particle":"","parse-names":false,"suffix":""},{"dropping-particle":"","family":"Meiryani","given":"","non-dropping-particle":"","parse-names":false,"suffix":""}],"container-title":"Journal of University of Shanghai for Sciene and Technology","id":"ITEM-1","issue":"10","issued":{"date-parts":[["2020"]]},"page":"1564-1568","title":"A Determinants of Dividend Payout Ratio in Indonesian listed Banking","type":"article-journal","volume":"22"},"uris":["http://www.mendeley.com/documents/?uuid=f19ac9b0-110f-4409-be2f-9e683efac9a1"]}],"mendeley":{"formattedCitation":"(Dewi et al., 2020)","manualFormatting":"Dewi, Pariayang &amp; Meiryani, (2020)","plainTextFormattedCitation":"(Dewi et al., 2020)","previouslyFormattedCitation":"(Dewi et al., 2020)"},"properties":{"noteIndex":0},"schema":"https://github.com/citation-style-language/schema/raw/master/csl-citation.json"}</w:instrText>
      </w:r>
      <w:r w:rsidRPr="00120D3D">
        <w:rPr>
          <w:rFonts w:ascii="Times New Roman" w:eastAsia="Calibri" w:hAnsi="Times New Roman" w:cs="Times New Roman"/>
          <w:sz w:val="24"/>
          <w:szCs w:val="24"/>
          <w:lang w:val="id-ID"/>
        </w:rPr>
        <w:fldChar w:fldCharType="separate"/>
      </w:r>
      <w:r w:rsidRPr="00120D3D">
        <w:rPr>
          <w:rFonts w:ascii="Times New Roman" w:eastAsia="Calibri" w:hAnsi="Times New Roman" w:cs="Times New Roman"/>
          <w:noProof/>
          <w:sz w:val="24"/>
          <w:szCs w:val="24"/>
          <w:lang w:val="id-ID"/>
        </w:rPr>
        <w:t>Dewi, Pariayang &amp; Meiryani, (2020)</w:t>
      </w:r>
      <w:r w:rsidRPr="00120D3D">
        <w:rPr>
          <w:rFonts w:ascii="Times New Roman" w:eastAsia="Calibri" w:hAnsi="Times New Roman" w:cs="Times New Roman"/>
          <w:sz w:val="24"/>
          <w:szCs w:val="24"/>
          <w:lang w:val="id-ID"/>
        </w:rPr>
        <w:fldChar w:fldCharType="end"/>
      </w:r>
      <w:r w:rsidRPr="00120D3D">
        <w:rPr>
          <w:rFonts w:ascii="Times New Roman" w:eastAsia="Calibri" w:hAnsi="Times New Roman" w:cs="Times New Roman"/>
          <w:sz w:val="24"/>
          <w:szCs w:val="24"/>
          <w:lang w:val="id-ID"/>
        </w:rPr>
        <w:t xml:space="preserve"> yang membuktikan bahwa </w:t>
      </w:r>
      <w:r w:rsidRPr="00120D3D">
        <w:rPr>
          <w:rFonts w:ascii="Times New Roman" w:eastAsia="Calibri" w:hAnsi="Times New Roman" w:cs="Times New Roman"/>
          <w:i/>
          <w:sz w:val="24"/>
          <w:szCs w:val="24"/>
        </w:rPr>
        <w:t>Capital Adequacy Ratio</w:t>
      </w:r>
      <w:r w:rsidRPr="00120D3D">
        <w:rPr>
          <w:rFonts w:ascii="Times New Roman" w:eastAsia="Calibri" w:hAnsi="Times New Roman" w:cs="Times New Roman"/>
          <w:sz w:val="24"/>
          <w:szCs w:val="24"/>
        </w:rPr>
        <w:t xml:space="preserve"> (CAR</w:t>
      </w:r>
      <w:r w:rsidRPr="00120D3D">
        <w:rPr>
          <w:rFonts w:ascii="Times New Roman" w:eastAsia="Calibri" w:hAnsi="Times New Roman" w:cs="Times New Roman"/>
          <w:sz w:val="24"/>
          <w:szCs w:val="24"/>
          <w:lang w:val="id-ID"/>
        </w:rPr>
        <w:t xml:space="preserve">) terhadap kebijakan pembayaran dividen </w:t>
      </w:r>
      <w:r w:rsidRPr="00120D3D">
        <w:rPr>
          <w:rFonts w:ascii="Times New Roman" w:eastAsia="Calibri" w:hAnsi="Times New Roman" w:cs="Times New Roman"/>
          <w:sz w:val="24"/>
          <w:szCs w:val="24"/>
        </w:rPr>
        <w:t xml:space="preserve">dikarenakan </w:t>
      </w:r>
      <w:r w:rsidRPr="00120D3D">
        <w:rPr>
          <w:rFonts w:ascii="Times New Roman" w:eastAsia="Calibri" w:hAnsi="Times New Roman" w:cs="Times New Roman"/>
          <w:i/>
          <w:sz w:val="24"/>
          <w:szCs w:val="24"/>
        </w:rPr>
        <w:t>Capital Adequacy Ratio</w:t>
      </w:r>
      <w:r w:rsidRPr="00120D3D">
        <w:rPr>
          <w:rFonts w:ascii="Times New Roman" w:eastAsia="Calibri" w:hAnsi="Times New Roman" w:cs="Times New Roman"/>
          <w:sz w:val="24"/>
          <w:szCs w:val="24"/>
        </w:rPr>
        <w:t xml:space="preserve"> (CAR</w:t>
      </w:r>
      <w:r w:rsidRPr="00120D3D">
        <w:rPr>
          <w:rFonts w:ascii="Times New Roman" w:eastAsia="Calibri" w:hAnsi="Times New Roman" w:cs="Times New Roman"/>
          <w:sz w:val="24"/>
          <w:szCs w:val="24"/>
          <w:lang w:val="id-ID"/>
        </w:rPr>
        <w:t xml:space="preserve">) sebagai rasio mengukur modal yang disediakan oleh bank dalam menyerap kerugian dengan menunjukkan bahwa adanya peningkatan dan penurunan </w:t>
      </w:r>
      <w:r w:rsidRPr="00120D3D">
        <w:rPr>
          <w:rFonts w:ascii="Times New Roman" w:eastAsia="Calibri" w:hAnsi="Times New Roman" w:cs="Times New Roman"/>
          <w:i/>
          <w:sz w:val="24"/>
          <w:szCs w:val="24"/>
        </w:rPr>
        <w:t xml:space="preserve">Capital Adequacy Ratio </w:t>
      </w:r>
      <w:r w:rsidRPr="00120D3D">
        <w:rPr>
          <w:rFonts w:ascii="Times New Roman" w:eastAsia="Calibri" w:hAnsi="Times New Roman" w:cs="Times New Roman"/>
          <w:sz w:val="24"/>
          <w:szCs w:val="24"/>
        </w:rPr>
        <w:t>(CAR)</w:t>
      </w:r>
      <w:r w:rsidRPr="00120D3D">
        <w:rPr>
          <w:rFonts w:ascii="Times New Roman" w:eastAsia="Calibri" w:hAnsi="Times New Roman" w:cs="Times New Roman"/>
          <w:sz w:val="24"/>
          <w:szCs w:val="24"/>
          <w:lang w:val="id-ID"/>
        </w:rPr>
        <w:t xml:space="preserve"> tidak berpengaruh terhadap kebijakan pembayaran dividen dikarenakan pembayaran dividen diambil dari laba bersih serta uang tunai yang tersedia oleh bank.</w:t>
      </w:r>
    </w:p>
    <w:p w14:paraId="7615C031" w14:textId="5E5CAAFD" w:rsidR="001265A8" w:rsidRDefault="001265A8" w:rsidP="001265A8">
      <w:pPr>
        <w:pStyle w:val="NoSpacing"/>
        <w:spacing w:before="200" w:after="120" w:line="276" w:lineRule="auto"/>
        <w:jc w:val="both"/>
        <w:rPr>
          <w:rFonts w:ascii="Times New Roman" w:eastAsia="Calibri" w:hAnsi="Times New Roman" w:cs="Times New Roman"/>
          <w:b/>
          <w:sz w:val="24"/>
          <w:szCs w:val="24"/>
          <w:lang w:val="id-ID"/>
        </w:rPr>
      </w:pPr>
      <w:r w:rsidRPr="00120D3D">
        <w:rPr>
          <w:rFonts w:ascii="Times New Roman" w:eastAsia="Calibri" w:hAnsi="Times New Roman" w:cs="Times New Roman"/>
          <w:b/>
          <w:sz w:val="24"/>
          <w:szCs w:val="24"/>
          <w:lang w:val="id-ID"/>
        </w:rPr>
        <w:t>T</w:t>
      </w:r>
      <w:r w:rsidRPr="00120D3D">
        <w:rPr>
          <w:rFonts w:ascii="Times New Roman" w:eastAsia="Calibri" w:hAnsi="Times New Roman" w:cs="Times New Roman"/>
          <w:b/>
          <w:sz w:val="24"/>
          <w:szCs w:val="24"/>
        </w:rPr>
        <w:t xml:space="preserve">erdapat pengaruh </w:t>
      </w:r>
      <w:r w:rsidRPr="00120D3D">
        <w:rPr>
          <w:rFonts w:ascii="Times New Roman" w:eastAsia="Calibri" w:hAnsi="Times New Roman" w:cs="Times New Roman"/>
          <w:b/>
          <w:i/>
          <w:sz w:val="24"/>
          <w:szCs w:val="24"/>
        </w:rPr>
        <w:t>growth</w:t>
      </w:r>
      <w:r w:rsidRPr="00120D3D">
        <w:rPr>
          <w:rFonts w:ascii="Times New Roman" w:eastAsia="Calibri" w:hAnsi="Times New Roman" w:cs="Times New Roman"/>
          <w:b/>
          <w:sz w:val="24"/>
          <w:szCs w:val="24"/>
        </w:rPr>
        <w:t xml:space="preserve"> terhadap kebijakan pembayaran dividen</w:t>
      </w:r>
    </w:p>
    <w:p w14:paraId="14E27D6B" w14:textId="247B995E" w:rsidR="001265A8" w:rsidRPr="00845B5F" w:rsidRDefault="001265A8" w:rsidP="001265A8">
      <w:pPr>
        <w:pStyle w:val="NoSpacing"/>
        <w:spacing w:before="200" w:after="120" w:line="276" w:lineRule="auto"/>
        <w:jc w:val="both"/>
        <w:rPr>
          <w:rFonts w:ascii="Times New Roman" w:eastAsia="Times New Roman" w:hAnsi="Times New Roman" w:cs="Times New Roman"/>
          <w:sz w:val="24"/>
          <w:szCs w:val="24"/>
          <w:lang w:val="id-ID"/>
        </w:rPr>
      </w:pPr>
      <w:r w:rsidRPr="001265A8">
        <w:rPr>
          <w:rFonts w:ascii="Times New Roman" w:eastAsia="Times New Roman" w:hAnsi="Times New Roman" w:cs="Times New Roman"/>
          <w:sz w:val="24"/>
          <w:szCs w:val="24"/>
          <w:lang w:val="id-ID"/>
        </w:rPr>
        <w:t xml:space="preserve">Hasil pengujian statistik menunjukkan besarnya nilai sig. </w:t>
      </w:r>
      <w:r w:rsidRPr="001265A8">
        <w:rPr>
          <w:rFonts w:ascii="Times New Roman" w:eastAsia="Times New Roman" w:hAnsi="Times New Roman" w:cs="Times New Roman"/>
          <w:i/>
          <w:sz w:val="24"/>
          <w:szCs w:val="24"/>
          <w:lang w:val="id-ID"/>
        </w:rPr>
        <w:t>growth</w:t>
      </w:r>
      <w:r w:rsidRPr="001265A8">
        <w:rPr>
          <w:rFonts w:ascii="Times New Roman" w:eastAsia="Times New Roman" w:hAnsi="Times New Roman" w:cs="Times New Roman"/>
          <w:sz w:val="24"/>
          <w:szCs w:val="24"/>
          <w:lang w:val="id-ID"/>
        </w:rPr>
        <w:t xml:space="preserve"> yaitu sebesar 0.4312 &gt; 0.05 (α = 5%) dan besarnya koefisien kebijakan pembayaran dividen yaitu sebesar 0.020569. Maka dapat disimpulkan bahwa Ho diterima dan Ha </w:t>
      </w:r>
      <w:r w:rsidRPr="001265A8">
        <w:rPr>
          <w:rFonts w:ascii="Times New Roman" w:eastAsia="Times New Roman" w:hAnsi="Times New Roman" w:cs="Times New Roman"/>
          <w:sz w:val="24"/>
          <w:szCs w:val="24"/>
          <w:lang w:val="id-ID"/>
        </w:rPr>
        <w:lastRenderedPageBreak/>
        <w:t xml:space="preserve">ditolak yang menunjukkan bahwa tidak terdapat pengaruh signifikan </w:t>
      </w:r>
      <w:r w:rsidRPr="001265A8">
        <w:rPr>
          <w:rFonts w:ascii="Times New Roman" w:eastAsia="Times New Roman" w:hAnsi="Times New Roman" w:cs="Times New Roman"/>
          <w:i/>
          <w:sz w:val="24"/>
          <w:szCs w:val="24"/>
          <w:lang w:val="id-ID"/>
        </w:rPr>
        <w:t xml:space="preserve">growth </w:t>
      </w:r>
      <w:r w:rsidRPr="001265A8">
        <w:rPr>
          <w:rFonts w:ascii="Times New Roman" w:eastAsia="Times New Roman" w:hAnsi="Times New Roman" w:cs="Times New Roman"/>
          <w:sz w:val="24"/>
          <w:szCs w:val="24"/>
          <w:lang w:val="id-ID"/>
        </w:rPr>
        <w:t xml:space="preserve">terhadap kebijakan pembayaran dividen, hal ini sesuai dengan penelitian yang dilakukan oleh Budagaga, (2020) yang membuktikan bahwa tidak terdapat bukti adanya peluang pertumbuhan pada bank yang dapat mempengaruhi kebijakan dalam pembayaran dividen. Sedangkan, hasil penelitian ini bertentangan dengan penelitian yang dilakukan oleh Pribadi &amp; Sampurno, (2012) dan Simanjuntak, (2016) yang menunjukkan bahwa adanya </w:t>
      </w:r>
      <w:r w:rsidRPr="001265A8">
        <w:rPr>
          <w:rFonts w:ascii="Times New Roman" w:eastAsia="Times New Roman" w:hAnsi="Times New Roman" w:cs="Times New Roman"/>
          <w:i/>
          <w:sz w:val="24"/>
          <w:szCs w:val="24"/>
          <w:lang w:val="id-ID"/>
        </w:rPr>
        <w:t>growth opportunities</w:t>
      </w:r>
      <w:r w:rsidRPr="001265A8">
        <w:rPr>
          <w:rFonts w:ascii="Times New Roman" w:eastAsia="Times New Roman" w:hAnsi="Times New Roman" w:cs="Times New Roman"/>
          <w:sz w:val="24"/>
          <w:szCs w:val="24"/>
          <w:lang w:val="id-ID"/>
        </w:rPr>
        <w:t xml:space="preserve"> yang tinggi berpengaruh negatif terhadap kebijakan pembayaran dividen dikarenakan tingginya peluang pertumbuhan akan membuat perusahaan lebih banyak menyimpan dana sebagai </w:t>
      </w:r>
      <w:r w:rsidRPr="001265A8">
        <w:rPr>
          <w:rFonts w:ascii="Times New Roman" w:eastAsia="Times New Roman" w:hAnsi="Times New Roman" w:cs="Times New Roman"/>
          <w:i/>
          <w:sz w:val="24"/>
          <w:szCs w:val="24"/>
          <w:lang w:val="id-ID"/>
        </w:rPr>
        <w:t>retained earnings</w:t>
      </w:r>
      <w:r w:rsidRPr="001265A8">
        <w:rPr>
          <w:rFonts w:ascii="Times New Roman" w:eastAsia="Times New Roman" w:hAnsi="Times New Roman" w:cs="Times New Roman"/>
          <w:sz w:val="24"/>
          <w:szCs w:val="24"/>
          <w:lang w:val="id-ID"/>
        </w:rPr>
        <w:t xml:space="preserve"> untuk masa depan.</w:t>
      </w:r>
    </w:p>
    <w:p w14:paraId="38CAAC0A" w14:textId="7469AB6D" w:rsidR="001265A8" w:rsidRDefault="001265A8" w:rsidP="001265A8">
      <w:pPr>
        <w:pStyle w:val="NoSpacing"/>
        <w:spacing w:before="200" w:after="120" w:line="276" w:lineRule="auto"/>
        <w:jc w:val="both"/>
        <w:rPr>
          <w:rFonts w:ascii="Times New Roman" w:eastAsia="Calibri" w:hAnsi="Times New Roman" w:cs="Times New Roman"/>
          <w:b/>
          <w:sz w:val="24"/>
          <w:szCs w:val="24"/>
        </w:rPr>
      </w:pPr>
      <w:r w:rsidRPr="00120D3D">
        <w:rPr>
          <w:rFonts w:ascii="Times New Roman" w:eastAsia="Calibri" w:hAnsi="Times New Roman" w:cs="Times New Roman"/>
          <w:b/>
          <w:sz w:val="24"/>
          <w:szCs w:val="24"/>
        </w:rPr>
        <w:t xml:space="preserve">Terdapat pengaruh </w:t>
      </w:r>
      <w:r w:rsidRPr="00120D3D">
        <w:rPr>
          <w:rFonts w:ascii="Times New Roman" w:eastAsia="Calibri" w:hAnsi="Times New Roman" w:cs="Times New Roman"/>
          <w:b/>
          <w:i/>
          <w:sz w:val="24"/>
          <w:szCs w:val="24"/>
          <w:lang w:val="id-ID"/>
        </w:rPr>
        <w:t>liquidity</w:t>
      </w:r>
      <w:r w:rsidRPr="00120D3D">
        <w:rPr>
          <w:rFonts w:ascii="Times New Roman" w:eastAsia="Calibri" w:hAnsi="Times New Roman" w:cs="Times New Roman"/>
          <w:b/>
          <w:i/>
          <w:sz w:val="24"/>
          <w:szCs w:val="24"/>
        </w:rPr>
        <w:t xml:space="preserve"> </w:t>
      </w:r>
      <w:r w:rsidRPr="00120D3D">
        <w:rPr>
          <w:rFonts w:ascii="Times New Roman" w:eastAsia="Calibri" w:hAnsi="Times New Roman" w:cs="Times New Roman"/>
          <w:b/>
          <w:sz w:val="24"/>
          <w:szCs w:val="24"/>
        </w:rPr>
        <w:t>terhad</w:t>
      </w:r>
      <w:r>
        <w:rPr>
          <w:rFonts w:ascii="Times New Roman" w:eastAsia="Calibri" w:hAnsi="Times New Roman" w:cs="Times New Roman"/>
          <w:b/>
          <w:sz w:val="24"/>
          <w:szCs w:val="24"/>
        </w:rPr>
        <w:t>ap kebijakan pembayaran dividen</w:t>
      </w:r>
    </w:p>
    <w:p w14:paraId="163FB125" w14:textId="34B780D4" w:rsidR="00845B5F" w:rsidRPr="00845B5F" w:rsidRDefault="001265A8" w:rsidP="001265A8">
      <w:pPr>
        <w:pStyle w:val="NoSpacing"/>
        <w:spacing w:before="200" w:after="120" w:line="276" w:lineRule="auto"/>
        <w:jc w:val="both"/>
        <w:rPr>
          <w:rFonts w:ascii="Times New Roman" w:eastAsia="Calibri" w:hAnsi="Times New Roman" w:cs="Times New Roman"/>
          <w:sz w:val="24"/>
          <w:szCs w:val="24"/>
        </w:rPr>
      </w:pPr>
      <w:r w:rsidRPr="001265A8">
        <w:rPr>
          <w:rFonts w:ascii="Times New Roman" w:eastAsia="Calibri" w:hAnsi="Times New Roman" w:cs="Times New Roman"/>
          <w:sz w:val="24"/>
          <w:szCs w:val="24"/>
        </w:rPr>
        <w:t xml:space="preserve">Hasil pengujian statistik menunjukkan besarnya nilai sig. </w:t>
      </w:r>
      <w:r w:rsidRPr="001265A8">
        <w:rPr>
          <w:rFonts w:ascii="Times New Roman" w:eastAsia="Calibri" w:hAnsi="Times New Roman" w:cs="Times New Roman"/>
          <w:i/>
          <w:sz w:val="24"/>
          <w:szCs w:val="24"/>
          <w:lang w:val="id-ID"/>
        </w:rPr>
        <w:t>liquidity</w:t>
      </w:r>
      <w:r w:rsidRPr="001265A8">
        <w:rPr>
          <w:rFonts w:ascii="Times New Roman" w:eastAsia="Calibri" w:hAnsi="Times New Roman" w:cs="Times New Roman"/>
          <w:sz w:val="24"/>
          <w:szCs w:val="24"/>
        </w:rPr>
        <w:t xml:space="preserve"> yaitu sebesar 0.0427 &lt; 0.05 (α = 5%) dan besarnya koefisien kebijakan pembayaran dividen yaitu sebesar 0.196025. Maka dapat disimpulkan bahwa Ho ditolak dan Ha diterima yang menunjukkan bahwa terdapat pengaruh positif </w:t>
      </w:r>
      <w:r w:rsidRPr="001265A8">
        <w:rPr>
          <w:rFonts w:ascii="Times New Roman" w:eastAsia="Calibri" w:hAnsi="Times New Roman" w:cs="Times New Roman"/>
          <w:i/>
          <w:sz w:val="24"/>
          <w:szCs w:val="24"/>
        </w:rPr>
        <w:t>liquidity</w:t>
      </w:r>
      <w:r w:rsidRPr="001265A8">
        <w:rPr>
          <w:rFonts w:ascii="Times New Roman" w:eastAsia="Calibri" w:hAnsi="Times New Roman" w:cs="Times New Roman"/>
          <w:sz w:val="24"/>
          <w:szCs w:val="24"/>
        </w:rPr>
        <w:t xml:space="preserve"> terhadap kebijakan pembayaran dividen yang bertentangan dengan penelitian Budagaga, (2020) yang menyatakan bahwa tidak terdapatnya pengaruh signifikan </w:t>
      </w:r>
      <w:r w:rsidRPr="001265A8">
        <w:rPr>
          <w:rFonts w:ascii="Times New Roman" w:eastAsia="Calibri" w:hAnsi="Times New Roman" w:cs="Times New Roman"/>
          <w:i/>
          <w:sz w:val="24"/>
          <w:szCs w:val="24"/>
        </w:rPr>
        <w:t>liquidity</w:t>
      </w:r>
      <w:r w:rsidRPr="001265A8">
        <w:rPr>
          <w:rFonts w:ascii="Times New Roman" w:eastAsia="Calibri" w:hAnsi="Times New Roman" w:cs="Times New Roman"/>
          <w:sz w:val="24"/>
          <w:szCs w:val="24"/>
        </w:rPr>
        <w:t xml:space="preserve"> terhadap kebijakan pembayaran dividen. Hasil penelitian ini didukung oleh penelitian Khan dkk, (2016) yang membuktikan bahwa perusahaan yang memiliki likuiditas rendah akan cenderung menahan labanya sebagai </w:t>
      </w:r>
      <w:r w:rsidRPr="001265A8">
        <w:rPr>
          <w:rFonts w:ascii="Times New Roman" w:eastAsia="Calibri" w:hAnsi="Times New Roman" w:cs="Times New Roman"/>
          <w:i/>
          <w:sz w:val="24"/>
          <w:szCs w:val="24"/>
        </w:rPr>
        <w:t>retained earnings</w:t>
      </w:r>
      <w:r w:rsidRPr="001265A8">
        <w:rPr>
          <w:rFonts w:ascii="Times New Roman" w:eastAsia="Calibri" w:hAnsi="Times New Roman" w:cs="Times New Roman"/>
          <w:sz w:val="24"/>
          <w:szCs w:val="24"/>
        </w:rPr>
        <w:t xml:space="preserve"> untuk menginvestasikan kembali dibanding memenuhi kewajibannya dalam pemberian dividen. Oleh karena itu, hal ini menjadikan </w:t>
      </w:r>
      <w:r w:rsidRPr="001265A8">
        <w:rPr>
          <w:rFonts w:ascii="Times New Roman" w:eastAsia="Calibri" w:hAnsi="Times New Roman" w:cs="Times New Roman"/>
          <w:sz w:val="24"/>
          <w:szCs w:val="24"/>
        </w:rPr>
        <w:lastRenderedPageBreak/>
        <w:t>penurunan pula pada kebijakan pembayaran dividen bagi para investor.</w:t>
      </w:r>
    </w:p>
    <w:p w14:paraId="52024841" w14:textId="194D8431" w:rsidR="001265A8" w:rsidRDefault="001265A8" w:rsidP="001265A8">
      <w:pPr>
        <w:pStyle w:val="NoSpacing"/>
        <w:spacing w:before="200" w:after="120" w:line="276" w:lineRule="auto"/>
        <w:jc w:val="both"/>
        <w:rPr>
          <w:rFonts w:ascii="Times New Roman" w:eastAsia="Calibri" w:hAnsi="Times New Roman" w:cs="Times New Roman"/>
          <w:b/>
          <w:sz w:val="24"/>
          <w:szCs w:val="24"/>
        </w:rPr>
      </w:pPr>
      <w:r w:rsidRPr="00120D3D">
        <w:rPr>
          <w:rFonts w:ascii="Times New Roman" w:eastAsia="Calibri" w:hAnsi="Times New Roman" w:cs="Times New Roman"/>
          <w:b/>
          <w:sz w:val="24"/>
          <w:szCs w:val="24"/>
          <w:lang w:val="id-ID"/>
        </w:rPr>
        <w:t>T</w:t>
      </w:r>
      <w:r w:rsidRPr="00120D3D">
        <w:rPr>
          <w:rFonts w:ascii="Times New Roman" w:eastAsia="Calibri" w:hAnsi="Times New Roman" w:cs="Times New Roman"/>
          <w:b/>
          <w:sz w:val="24"/>
          <w:szCs w:val="24"/>
        </w:rPr>
        <w:t xml:space="preserve">erdapat pengaruh </w:t>
      </w:r>
      <w:r w:rsidRPr="00120D3D">
        <w:rPr>
          <w:rFonts w:ascii="Times New Roman" w:eastAsia="Calibri" w:hAnsi="Times New Roman" w:cs="Times New Roman"/>
          <w:b/>
          <w:i/>
          <w:sz w:val="24"/>
          <w:szCs w:val="24"/>
        </w:rPr>
        <w:t xml:space="preserve">credit risk </w:t>
      </w:r>
      <w:r w:rsidRPr="00120D3D">
        <w:rPr>
          <w:rFonts w:ascii="Times New Roman" w:eastAsia="Calibri" w:hAnsi="Times New Roman" w:cs="Times New Roman"/>
          <w:b/>
          <w:sz w:val="24"/>
          <w:szCs w:val="24"/>
        </w:rPr>
        <w:t>terhadap kebijakan pembayaran dividen</w:t>
      </w:r>
    </w:p>
    <w:p w14:paraId="4DD51335" w14:textId="64DFBC18" w:rsidR="001265A8" w:rsidRPr="001265A8" w:rsidRDefault="001265A8" w:rsidP="001265A8">
      <w:pPr>
        <w:pStyle w:val="NoSpacing"/>
        <w:spacing w:before="200" w:after="120" w:line="276" w:lineRule="auto"/>
        <w:jc w:val="both"/>
        <w:rPr>
          <w:rFonts w:ascii="Times New Roman" w:eastAsia="Calibri" w:hAnsi="Times New Roman" w:cs="Times New Roman"/>
          <w:sz w:val="24"/>
          <w:szCs w:val="24"/>
        </w:rPr>
      </w:pPr>
      <w:r w:rsidRPr="001265A8">
        <w:rPr>
          <w:rFonts w:ascii="Times New Roman" w:eastAsia="Calibri" w:hAnsi="Times New Roman" w:cs="Times New Roman"/>
          <w:sz w:val="24"/>
          <w:szCs w:val="24"/>
        </w:rPr>
        <w:t>Hasil pengujian statistik menunjukkan besarnya nilai sig</w:t>
      </w:r>
      <w:r w:rsidRPr="001265A8">
        <w:rPr>
          <w:rFonts w:ascii="Times New Roman" w:eastAsia="Calibri" w:hAnsi="Times New Roman" w:cs="Times New Roman"/>
          <w:i/>
          <w:sz w:val="24"/>
          <w:szCs w:val="24"/>
        </w:rPr>
        <w:t>. credit risk</w:t>
      </w:r>
      <w:r w:rsidRPr="001265A8">
        <w:rPr>
          <w:rFonts w:ascii="Times New Roman" w:eastAsia="Calibri" w:hAnsi="Times New Roman" w:cs="Times New Roman"/>
          <w:sz w:val="24"/>
          <w:szCs w:val="24"/>
        </w:rPr>
        <w:t xml:space="preserve"> yaitu sebesar 0.5557 &gt; 0.05 (α = 5%) dan besarnya koefisien kebijakan pembayaran dividen yaitu sebesar -0.511646. Maka dapat disimpulkan bahwa Ho diterima dan Ha ditolak yang menunjukkan bahwa tidak terdapat pengaruh signifikan </w:t>
      </w:r>
      <w:r w:rsidRPr="001265A8">
        <w:rPr>
          <w:rFonts w:ascii="Times New Roman" w:eastAsia="Calibri" w:hAnsi="Times New Roman" w:cs="Times New Roman"/>
          <w:i/>
          <w:sz w:val="24"/>
          <w:szCs w:val="24"/>
        </w:rPr>
        <w:t>credit risk</w:t>
      </w:r>
      <w:r w:rsidRPr="001265A8">
        <w:rPr>
          <w:rFonts w:ascii="Times New Roman" w:eastAsia="Calibri" w:hAnsi="Times New Roman" w:cs="Times New Roman"/>
          <w:sz w:val="24"/>
          <w:szCs w:val="24"/>
        </w:rPr>
        <w:t xml:space="preserve"> terhadap kebijakan pembayaran dividen, hal ini bertentangan dengan penelitian Budagaga, (2020) yang menyatakan bahwa credit risk berpengaruh negatif terhadap kebijakan pembayran dividen dengan adanya peningkatan risiko kredit suatu bank akan mengurangi laba dengan menurunkan pembayaran dividen dalam upaya peningkatan kekuatan keuangan dan pemenuhan kebijakan permodalan pemerintah. Hasil penelitian ini didukung oleh penelitian oleh Rasyid, (2018) yang membutikan pula risiko kredit tidak berpengaruh secara signifikan terhadap kebijakan pembayaran dividen.</w:t>
      </w:r>
    </w:p>
    <w:p w14:paraId="162DC19F" w14:textId="664D3220" w:rsidR="001265A8" w:rsidRDefault="001265A8" w:rsidP="001265A8">
      <w:pPr>
        <w:pStyle w:val="NoSpacing"/>
        <w:spacing w:before="200" w:after="120" w:line="276" w:lineRule="auto"/>
        <w:jc w:val="both"/>
        <w:rPr>
          <w:rFonts w:ascii="Times New Roman" w:eastAsia="Times New Roman" w:hAnsi="Times New Roman" w:cs="Times New Roman"/>
          <w:b/>
          <w:sz w:val="24"/>
          <w:szCs w:val="24"/>
          <w:lang w:val="id-ID"/>
        </w:rPr>
      </w:pPr>
      <w:r w:rsidRPr="001265A8">
        <w:rPr>
          <w:rFonts w:ascii="Times New Roman" w:eastAsia="Times New Roman" w:hAnsi="Times New Roman" w:cs="Times New Roman"/>
          <w:b/>
          <w:sz w:val="24"/>
          <w:szCs w:val="24"/>
          <w:lang w:val="id-ID"/>
        </w:rPr>
        <w:t xml:space="preserve">Terdapat pengaruh </w:t>
      </w:r>
      <w:r w:rsidRPr="001265A8">
        <w:rPr>
          <w:rFonts w:ascii="Times New Roman" w:eastAsia="Times New Roman" w:hAnsi="Times New Roman" w:cs="Times New Roman"/>
          <w:b/>
          <w:i/>
          <w:sz w:val="24"/>
          <w:szCs w:val="24"/>
          <w:lang w:val="id-ID"/>
        </w:rPr>
        <w:t>bank’s age</w:t>
      </w:r>
      <w:r w:rsidRPr="001265A8">
        <w:rPr>
          <w:rFonts w:ascii="Times New Roman" w:eastAsia="Times New Roman" w:hAnsi="Times New Roman" w:cs="Times New Roman"/>
          <w:b/>
          <w:sz w:val="24"/>
          <w:szCs w:val="24"/>
          <w:lang w:val="id-ID"/>
        </w:rPr>
        <w:t xml:space="preserve"> terhadap kebijakan pembayaran dividen</w:t>
      </w:r>
    </w:p>
    <w:p w14:paraId="3A88E8F1" w14:textId="39730F23" w:rsidR="001265A8" w:rsidRPr="001265A8" w:rsidRDefault="001265A8" w:rsidP="001265A8">
      <w:pPr>
        <w:pStyle w:val="NoSpacing"/>
        <w:spacing w:before="200" w:after="120" w:line="276" w:lineRule="auto"/>
        <w:jc w:val="both"/>
        <w:rPr>
          <w:rFonts w:ascii="Times New Roman" w:eastAsia="Times New Roman" w:hAnsi="Times New Roman" w:cs="Times New Roman"/>
          <w:b/>
          <w:sz w:val="24"/>
          <w:szCs w:val="24"/>
          <w:lang w:val="id-ID"/>
        </w:rPr>
      </w:pPr>
      <w:r w:rsidRPr="00120D3D">
        <w:rPr>
          <w:rFonts w:ascii="Times New Roman" w:eastAsia="Calibri" w:hAnsi="Times New Roman" w:cs="Times New Roman"/>
          <w:sz w:val="24"/>
          <w:szCs w:val="24"/>
        </w:rPr>
        <w:t xml:space="preserve">Hasil pengujian statistik menunjukkan besarnya nilai sig. </w:t>
      </w:r>
      <w:r w:rsidRPr="00120D3D">
        <w:rPr>
          <w:rFonts w:ascii="Times New Roman" w:eastAsia="Calibri" w:hAnsi="Times New Roman" w:cs="Times New Roman"/>
          <w:i/>
          <w:sz w:val="24"/>
          <w:szCs w:val="24"/>
        </w:rPr>
        <w:t xml:space="preserve">bank’s </w:t>
      </w:r>
      <w:r w:rsidRPr="00120D3D">
        <w:rPr>
          <w:rFonts w:ascii="Times New Roman" w:eastAsia="Calibri" w:hAnsi="Times New Roman" w:cs="Times New Roman"/>
          <w:i/>
          <w:iCs/>
          <w:sz w:val="24"/>
          <w:szCs w:val="24"/>
        </w:rPr>
        <w:t>age</w:t>
      </w:r>
      <w:r w:rsidRPr="00120D3D">
        <w:rPr>
          <w:rFonts w:ascii="Times New Roman" w:eastAsia="Calibri" w:hAnsi="Times New Roman" w:cs="Times New Roman"/>
          <w:sz w:val="24"/>
          <w:szCs w:val="24"/>
        </w:rPr>
        <w:t xml:space="preserve"> yaitu sebesar 0.0004 &lt; 0.05 (</w:t>
      </w:r>
      <w:r w:rsidRPr="00120D3D">
        <w:rPr>
          <w:rFonts w:ascii="Times New Roman" w:eastAsia="Calibri" w:hAnsi="Times New Roman" w:cs="Times New Roman"/>
          <w:color w:val="231F20"/>
          <w:sz w:val="24"/>
          <w:szCs w:val="24"/>
        </w:rPr>
        <w:t xml:space="preserve">α = 5%) dan besarnya koefisien kebijakan pembayaran dividen yaitu sebesar </w:t>
      </w:r>
      <w:r w:rsidRPr="00120D3D">
        <w:rPr>
          <w:rFonts w:ascii="Times New Roman" w:eastAsia="Calibri" w:hAnsi="Times New Roman" w:cs="Times New Roman"/>
          <w:sz w:val="24"/>
          <w:szCs w:val="24"/>
        </w:rPr>
        <w:t xml:space="preserve">2.474030. Maka dapat disimpulkan bahwa </w:t>
      </w:r>
      <w:r w:rsidRPr="00120D3D">
        <w:rPr>
          <w:rFonts w:ascii="Times New Roman" w:eastAsia="Calibri" w:hAnsi="Times New Roman" w:cs="Times New Roman"/>
          <w:color w:val="231F20"/>
          <w:sz w:val="24"/>
          <w:szCs w:val="24"/>
        </w:rPr>
        <w:t>H</w:t>
      </w:r>
      <w:r w:rsidRPr="00120D3D">
        <w:rPr>
          <w:rFonts w:ascii="Times New Roman" w:eastAsia="Calibri" w:hAnsi="Times New Roman" w:cs="Times New Roman"/>
          <w:color w:val="231F20"/>
          <w:sz w:val="24"/>
          <w:szCs w:val="24"/>
          <w:vertAlign w:val="subscript"/>
        </w:rPr>
        <w:t xml:space="preserve">o </w:t>
      </w:r>
      <w:r w:rsidRPr="00120D3D">
        <w:rPr>
          <w:rFonts w:ascii="Times New Roman" w:eastAsia="Calibri" w:hAnsi="Times New Roman" w:cs="Times New Roman"/>
          <w:color w:val="231F20"/>
          <w:sz w:val="24"/>
          <w:szCs w:val="24"/>
        </w:rPr>
        <w:t>ditolak dan H</w:t>
      </w:r>
      <w:r w:rsidRPr="00120D3D">
        <w:rPr>
          <w:rFonts w:ascii="Times New Roman" w:eastAsia="Calibri" w:hAnsi="Times New Roman" w:cs="Times New Roman"/>
          <w:color w:val="231F20"/>
          <w:sz w:val="24"/>
          <w:szCs w:val="24"/>
          <w:vertAlign w:val="subscript"/>
        </w:rPr>
        <w:t xml:space="preserve">a </w:t>
      </w:r>
      <w:r w:rsidRPr="00120D3D">
        <w:rPr>
          <w:rFonts w:ascii="Times New Roman" w:eastAsia="Calibri" w:hAnsi="Times New Roman" w:cs="Times New Roman"/>
          <w:color w:val="231F20"/>
          <w:sz w:val="24"/>
          <w:szCs w:val="24"/>
        </w:rPr>
        <w:t xml:space="preserve">diterima yang </w:t>
      </w:r>
      <w:r w:rsidRPr="00120D3D">
        <w:rPr>
          <w:rFonts w:ascii="Times New Roman" w:eastAsia="Calibri" w:hAnsi="Times New Roman" w:cs="Times New Roman"/>
          <w:color w:val="231F20"/>
          <w:sz w:val="24"/>
          <w:szCs w:val="24"/>
          <w:lang w:val="id-ID"/>
        </w:rPr>
        <w:t xml:space="preserve">menunjukkan bahwa </w:t>
      </w:r>
      <w:r w:rsidRPr="00120D3D">
        <w:rPr>
          <w:rFonts w:ascii="Times New Roman" w:eastAsia="Calibri" w:hAnsi="Times New Roman" w:cs="Times New Roman"/>
          <w:i/>
          <w:color w:val="231F20"/>
          <w:sz w:val="24"/>
          <w:szCs w:val="24"/>
          <w:lang w:val="id-ID"/>
        </w:rPr>
        <w:t xml:space="preserve">bank’s </w:t>
      </w:r>
      <w:r w:rsidRPr="00120D3D">
        <w:rPr>
          <w:rFonts w:ascii="Times New Roman" w:eastAsia="Calibri" w:hAnsi="Times New Roman" w:cs="Times New Roman"/>
          <w:i/>
          <w:iCs/>
          <w:color w:val="231F20"/>
          <w:sz w:val="24"/>
          <w:szCs w:val="24"/>
          <w:lang w:val="id-ID"/>
        </w:rPr>
        <w:t>age</w:t>
      </w:r>
      <w:r w:rsidRPr="00120D3D">
        <w:rPr>
          <w:rFonts w:ascii="Times New Roman" w:eastAsia="Calibri" w:hAnsi="Times New Roman" w:cs="Times New Roman"/>
          <w:color w:val="231F20"/>
          <w:sz w:val="24"/>
          <w:szCs w:val="24"/>
          <w:lang w:val="id-ID"/>
        </w:rPr>
        <w:t xml:space="preserve"> berpengaruh positif terhadap kebijakan pembayaran dividen, </w:t>
      </w:r>
      <w:r w:rsidRPr="00120D3D">
        <w:rPr>
          <w:rFonts w:ascii="Times New Roman" w:eastAsia="Calibri" w:hAnsi="Times New Roman" w:cs="Times New Roman"/>
          <w:color w:val="231F20"/>
          <w:sz w:val="24"/>
          <w:szCs w:val="24"/>
        </w:rPr>
        <w:t xml:space="preserve">hal ini mendukung penelitian Budgaga (2020) dan Darmawan (2011), bahwa </w:t>
      </w:r>
      <w:r w:rsidRPr="00120D3D">
        <w:rPr>
          <w:rFonts w:ascii="Times New Roman" w:eastAsia="Calibri" w:hAnsi="Times New Roman" w:cs="Times New Roman"/>
          <w:sz w:val="24"/>
          <w:szCs w:val="24"/>
        </w:rPr>
        <w:t xml:space="preserve">semakin lama berdirinya </w:t>
      </w:r>
      <w:r w:rsidRPr="00120D3D">
        <w:rPr>
          <w:rFonts w:ascii="Times New Roman" w:eastAsia="Calibri" w:hAnsi="Times New Roman" w:cs="Times New Roman"/>
          <w:sz w:val="24"/>
          <w:szCs w:val="24"/>
        </w:rPr>
        <w:lastRenderedPageBreak/>
        <w:t xml:space="preserve">suatu perusahaan maka akan semakin matang dan dewasa perusahaan tersebut sehingga pengelolaan perusahaan juga akan semakin professional yang dapat berpengaruh terhadap peningkatan kebijakan pembayaran dividen perusahaan tersebut. Ketika umur perusahaan sudah semakin tua, peluang investasi </w:t>
      </w:r>
      <w:proofErr w:type="gramStart"/>
      <w:r w:rsidRPr="00120D3D">
        <w:rPr>
          <w:rFonts w:ascii="Times New Roman" w:eastAsia="Calibri" w:hAnsi="Times New Roman" w:cs="Times New Roman"/>
          <w:sz w:val="24"/>
          <w:szCs w:val="24"/>
        </w:rPr>
        <w:t>akan</w:t>
      </w:r>
      <w:proofErr w:type="gramEnd"/>
      <w:r w:rsidRPr="00120D3D">
        <w:rPr>
          <w:rFonts w:ascii="Times New Roman" w:eastAsia="Calibri" w:hAnsi="Times New Roman" w:cs="Times New Roman"/>
          <w:sz w:val="24"/>
          <w:szCs w:val="24"/>
        </w:rPr>
        <w:t xml:space="preserve"> menurun dikarenakan persaingan meningkat dan prospek pertumbuhan aset menurun sehingga dana bank lebih banyak dan dapat membayar dividen tinggi kepada para pemegang saham. Oleh karena itu </w:t>
      </w:r>
      <w:r w:rsidRPr="00120D3D">
        <w:rPr>
          <w:rFonts w:ascii="Times New Roman" w:eastAsia="Calibri" w:hAnsi="Times New Roman" w:cs="Times New Roman"/>
          <w:i/>
          <w:sz w:val="24"/>
          <w:szCs w:val="24"/>
        </w:rPr>
        <w:t xml:space="preserve">bank’s </w:t>
      </w:r>
      <w:r w:rsidRPr="00120D3D">
        <w:rPr>
          <w:rFonts w:ascii="Times New Roman" w:eastAsia="Calibri" w:hAnsi="Times New Roman" w:cs="Times New Roman"/>
          <w:i/>
          <w:iCs/>
          <w:sz w:val="24"/>
          <w:szCs w:val="24"/>
        </w:rPr>
        <w:t>age</w:t>
      </w:r>
      <w:r w:rsidRPr="00120D3D">
        <w:rPr>
          <w:rFonts w:ascii="Times New Roman" w:eastAsia="Calibri" w:hAnsi="Times New Roman" w:cs="Times New Roman"/>
          <w:sz w:val="24"/>
          <w:szCs w:val="24"/>
        </w:rPr>
        <w:t xml:space="preserve"> berpengaruh terhadap kebijakan pembayaran dividen.</w:t>
      </w:r>
    </w:p>
    <w:p w14:paraId="253ACC04" w14:textId="2AC24381" w:rsidR="00AB0986" w:rsidRPr="00F52FFB" w:rsidRDefault="00CC1CBB" w:rsidP="00AB0986">
      <w:pPr>
        <w:pStyle w:val="NoSpacing"/>
        <w:spacing w:before="200" w:after="120" w:line="276" w:lineRule="auto"/>
        <w:jc w:val="both"/>
        <w:rPr>
          <w:rFonts w:ascii="Times New Roman" w:hAnsi="Times New Roman" w:cs="Times New Roman"/>
          <w:b/>
          <w:sz w:val="24"/>
          <w:szCs w:val="24"/>
        </w:rPr>
      </w:pPr>
      <w:r w:rsidRPr="00F52FFB">
        <w:rPr>
          <w:rFonts w:ascii="Times New Roman" w:hAnsi="Times New Roman" w:cs="Times New Roman"/>
          <w:b/>
          <w:sz w:val="24"/>
          <w:szCs w:val="24"/>
        </w:rPr>
        <w:t>K</w:t>
      </w:r>
      <w:r w:rsidR="00AD3F95">
        <w:rPr>
          <w:rFonts w:ascii="Times New Roman" w:hAnsi="Times New Roman" w:cs="Times New Roman"/>
          <w:b/>
          <w:sz w:val="24"/>
          <w:szCs w:val="24"/>
        </w:rPr>
        <w:t>ESIMPULAN</w:t>
      </w:r>
    </w:p>
    <w:p w14:paraId="1FE039EA" w14:textId="4B8CC757" w:rsidR="00AB0986" w:rsidRDefault="00EB1271" w:rsidP="00EB1271">
      <w:pPr>
        <w:spacing w:after="0" w:line="240" w:lineRule="auto"/>
        <w:ind w:firstLine="567"/>
        <w:jc w:val="both"/>
        <w:rPr>
          <w:rFonts w:ascii="Times New Roman" w:eastAsia="Times New Roman" w:hAnsi="Times New Roman" w:cs="Times New Roman"/>
          <w:sz w:val="24"/>
          <w:szCs w:val="24"/>
        </w:rPr>
      </w:pPr>
      <w:r w:rsidRPr="00EB1271">
        <w:rPr>
          <w:rFonts w:ascii="Times New Roman" w:eastAsia="Times New Roman" w:hAnsi="Times New Roman" w:cs="Times New Roman"/>
          <w:sz w:val="24"/>
          <w:szCs w:val="24"/>
        </w:rPr>
        <w:t xml:space="preserve">Sesuai dengan judul penelitian ini yaitu “Faktor-Faktor Penentu Dalam Pengambilan Kebijakan Pembayaran Dividen Pada Bank Konvensional Yang Terdaftar Di Bursa Efek Indonesia” dan tujuan dari penelitian yang dilakukan adalah mengetahui dampak </w:t>
      </w:r>
      <w:r w:rsidRPr="00EB1271">
        <w:rPr>
          <w:rFonts w:ascii="Times New Roman" w:eastAsia="Times New Roman" w:hAnsi="Times New Roman" w:cs="Times New Roman"/>
          <w:i/>
          <w:sz w:val="24"/>
          <w:szCs w:val="24"/>
        </w:rPr>
        <w:t>size, profitability, capital adequacy ratio, growth opportunity, liquidity, credit risk,</w:t>
      </w:r>
      <w:r w:rsidRPr="00EB1271">
        <w:rPr>
          <w:rFonts w:ascii="Times New Roman" w:eastAsia="Times New Roman" w:hAnsi="Times New Roman" w:cs="Times New Roman"/>
          <w:sz w:val="24"/>
          <w:szCs w:val="24"/>
        </w:rPr>
        <w:t xml:space="preserve"> dan </w:t>
      </w:r>
      <w:r w:rsidRPr="00EB1271">
        <w:rPr>
          <w:rFonts w:ascii="Times New Roman" w:eastAsia="Times New Roman" w:hAnsi="Times New Roman" w:cs="Times New Roman"/>
          <w:i/>
          <w:sz w:val="24"/>
          <w:szCs w:val="24"/>
        </w:rPr>
        <w:t>bank’s age</w:t>
      </w:r>
      <w:r w:rsidRPr="00EB1271">
        <w:rPr>
          <w:rFonts w:ascii="Times New Roman" w:eastAsia="Times New Roman" w:hAnsi="Times New Roman" w:cs="Times New Roman"/>
          <w:sz w:val="24"/>
          <w:szCs w:val="24"/>
        </w:rPr>
        <w:t xml:space="preserve"> terhadap kebijakan pembayaran dividen. Hasil penelitian yang telah dilakukan pada 18 perbankan di Indonesia yang terdaftar di Bursa Efek Indonesia pada periode 2015-2020, dari semua variabel y</w:t>
      </w:r>
      <w:r>
        <w:rPr>
          <w:rFonts w:ascii="Times New Roman" w:eastAsia="Times New Roman" w:hAnsi="Times New Roman" w:cs="Times New Roman"/>
          <w:sz w:val="24"/>
          <w:szCs w:val="24"/>
        </w:rPr>
        <w:t>ang diteliti dapat disimpulkan:</w:t>
      </w:r>
      <w:r>
        <w:rPr>
          <w:rFonts w:ascii="Times New Roman" w:eastAsia="Times New Roman" w:hAnsi="Times New Roman" w:cs="Times New Roman"/>
          <w:sz w:val="24"/>
          <w:szCs w:val="24"/>
          <w:lang w:val="id-ID"/>
        </w:rPr>
        <w:t xml:space="preserve"> (1) </w:t>
      </w:r>
      <w:r w:rsidRPr="00EB1271">
        <w:rPr>
          <w:rFonts w:ascii="Times New Roman" w:eastAsia="Times New Roman" w:hAnsi="Times New Roman" w:cs="Times New Roman"/>
          <w:i/>
          <w:sz w:val="24"/>
          <w:szCs w:val="24"/>
        </w:rPr>
        <w:t>Size</w:t>
      </w:r>
      <w:r w:rsidRPr="00EB1271">
        <w:rPr>
          <w:rFonts w:ascii="Times New Roman" w:eastAsia="Times New Roman" w:hAnsi="Times New Roman" w:cs="Times New Roman"/>
          <w:sz w:val="24"/>
          <w:szCs w:val="24"/>
        </w:rPr>
        <w:t xml:space="preserve"> berpengaruh negatif signifikan terhadap kebijakan pembayaran dividen.</w:t>
      </w:r>
      <w:r>
        <w:rPr>
          <w:rFonts w:ascii="Times New Roman" w:eastAsia="Times New Roman" w:hAnsi="Times New Roman" w:cs="Times New Roman"/>
          <w:sz w:val="24"/>
          <w:szCs w:val="24"/>
          <w:lang w:val="id-ID"/>
        </w:rPr>
        <w:t xml:space="preserve"> (2) </w:t>
      </w:r>
      <w:r w:rsidRPr="00EB1271">
        <w:rPr>
          <w:rFonts w:ascii="Times New Roman" w:eastAsia="Times New Roman" w:hAnsi="Times New Roman" w:cs="Times New Roman"/>
          <w:i/>
          <w:sz w:val="24"/>
          <w:szCs w:val="24"/>
        </w:rPr>
        <w:t>Profitability</w:t>
      </w:r>
      <w:r w:rsidRPr="00EB1271">
        <w:rPr>
          <w:rFonts w:ascii="Times New Roman" w:eastAsia="Times New Roman" w:hAnsi="Times New Roman" w:cs="Times New Roman"/>
          <w:sz w:val="24"/>
          <w:szCs w:val="24"/>
        </w:rPr>
        <w:t xml:space="preserve"> berpengaruh negatif signifikan terhadap kebijakan pembayaran dividen.</w:t>
      </w:r>
      <w:r>
        <w:rPr>
          <w:rFonts w:ascii="Times New Roman" w:eastAsia="Times New Roman" w:hAnsi="Times New Roman" w:cs="Times New Roman"/>
          <w:sz w:val="24"/>
          <w:szCs w:val="24"/>
          <w:lang w:val="id-ID"/>
        </w:rPr>
        <w:t xml:space="preserve"> (3) </w:t>
      </w:r>
      <w:r w:rsidRPr="00EB1271">
        <w:rPr>
          <w:rFonts w:ascii="Times New Roman" w:eastAsia="Times New Roman" w:hAnsi="Times New Roman" w:cs="Times New Roman"/>
          <w:sz w:val="24"/>
          <w:szCs w:val="24"/>
        </w:rPr>
        <w:t>Capital adequacy ratio tidak terdapat pengaruh signifikan terhadap kebijakan pembayaran dividen.</w:t>
      </w:r>
      <w:r>
        <w:rPr>
          <w:rFonts w:ascii="Times New Roman" w:eastAsia="Times New Roman" w:hAnsi="Times New Roman" w:cs="Times New Roman"/>
          <w:sz w:val="24"/>
          <w:szCs w:val="24"/>
          <w:lang w:val="id-ID"/>
        </w:rPr>
        <w:t xml:space="preserve"> (4) </w:t>
      </w:r>
      <w:r w:rsidRPr="00EB1271">
        <w:rPr>
          <w:rFonts w:ascii="Times New Roman" w:eastAsia="Times New Roman" w:hAnsi="Times New Roman" w:cs="Times New Roman"/>
          <w:i/>
          <w:sz w:val="24"/>
          <w:szCs w:val="24"/>
        </w:rPr>
        <w:t>Growth opportunity</w:t>
      </w:r>
      <w:r w:rsidRPr="00EB1271">
        <w:rPr>
          <w:rFonts w:ascii="Times New Roman" w:eastAsia="Times New Roman" w:hAnsi="Times New Roman" w:cs="Times New Roman"/>
          <w:sz w:val="24"/>
          <w:szCs w:val="24"/>
        </w:rPr>
        <w:t xml:space="preserve"> tidak terdapat pengaruh signifikan terhadap kebijakan pembayaran dividen.</w:t>
      </w:r>
      <w:r>
        <w:rPr>
          <w:rFonts w:ascii="Times New Roman" w:eastAsia="Times New Roman" w:hAnsi="Times New Roman" w:cs="Times New Roman"/>
          <w:sz w:val="24"/>
          <w:szCs w:val="24"/>
          <w:lang w:val="id-ID"/>
        </w:rPr>
        <w:t xml:space="preserve"> (5) </w:t>
      </w:r>
      <w:r w:rsidRPr="00EB1271">
        <w:rPr>
          <w:rFonts w:ascii="Times New Roman" w:eastAsia="Times New Roman" w:hAnsi="Times New Roman" w:cs="Times New Roman"/>
          <w:sz w:val="24"/>
          <w:szCs w:val="24"/>
        </w:rPr>
        <w:t>Liquidity berpengaruh positif signifikan terhadap kebijakan pembayaran dividen.</w:t>
      </w:r>
      <w:r>
        <w:rPr>
          <w:rFonts w:ascii="Times New Roman" w:eastAsia="Times New Roman" w:hAnsi="Times New Roman" w:cs="Times New Roman"/>
          <w:sz w:val="24"/>
          <w:szCs w:val="24"/>
          <w:lang w:val="id-ID"/>
        </w:rPr>
        <w:t xml:space="preserve"> (6</w:t>
      </w:r>
      <w:r w:rsidRPr="00EB1271">
        <w:rPr>
          <w:rFonts w:ascii="Times New Roman" w:eastAsia="Times New Roman" w:hAnsi="Times New Roman" w:cs="Times New Roman"/>
          <w:i/>
          <w:sz w:val="24"/>
          <w:szCs w:val="24"/>
          <w:lang w:val="id-ID"/>
        </w:rPr>
        <w:t xml:space="preserve">) </w:t>
      </w:r>
      <w:r w:rsidRPr="00EB1271">
        <w:rPr>
          <w:rFonts w:ascii="Times New Roman" w:eastAsia="Times New Roman" w:hAnsi="Times New Roman" w:cs="Times New Roman"/>
          <w:i/>
          <w:sz w:val="24"/>
          <w:szCs w:val="24"/>
        </w:rPr>
        <w:t>Credit risk</w:t>
      </w:r>
      <w:r w:rsidRPr="00EB1271">
        <w:rPr>
          <w:rFonts w:ascii="Times New Roman" w:eastAsia="Times New Roman" w:hAnsi="Times New Roman" w:cs="Times New Roman"/>
          <w:sz w:val="24"/>
          <w:szCs w:val="24"/>
        </w:rPr>
        <w:t xml:space="preserve"> tidak terdapat pengaruh signifikan terhadap kebijakan pembayaran dividen.</w:t>
      </w:r>
      <w:r>
        <w:rPr>
          <w:rFonts w:ascii="Times New Roman" w:eastAsia="Times New Roman" w:hAnsi="Times New Roman" w:cs="Times New Roman"/>
          <w:sz w:val="24"/>
          <w:szCs w:val="24"/>
          <w:lang w:val="id-ID"/>
        </w:rPr>
        <w:t xml:space="preserve"> (7) </w:t>
      </w:r>
      <w:r w:rsidRPr="00EB1271">
        <w:rPr>
          <w:rFonts w:ascii="Times New Roman" w:eastAsia="Times New Roman" w:hAnsi="Times New Roman" w:cs="Times New Roman"/>
          <w:i/>
          <w:sz w:val="24"/>
          <w:szCs w:val="24"/>
        </w:rPr>
        <w:t>Bank’s age</w:t>
      </w:r>
      <w:r w:rsidRPr="00EB1271">
        <w:rPr>
          <w:rFonts w:ascii="Times New Roman" w:eastAsia="Times New Roman" w:hAnsi="Times New Roman" w:cs="Times New Roman"/>
          <w:sz w:val="24"/>
          <w:szCs w:val="24"/>
        </w:rPr>
        <w:t xml:space="preserve"> berpengaruh positif </w:t>
      </w:r>
      <w:r w:rsidRPr="00EB1271">
        <w:rPr>
          <w:rFonts w:ascii="Times New Roman" w:eastAsia="Times New Roman" w:hAnsi="Times New Roman" w:cs="Times New Roman"/>
          <w:sz w:val="24"/>
          <w:szCs w:val="24"/>
        </w:rPr>
        <w:lastRenderedPageBreak/>
        <w:t>signifikan terhadap kebijakan pembayaran dividen.</w:t>
      </w:r>
      <w:r w:rsidR="00AB0986">
        <w:rPr>
          <w:rFonts w:ascii="Times New Roman" w:eastAsia="Times New Roman" w:hAnsi="Times New Roman" w:cs="Times New Roman"/>
          <w:sz w:val="24"/>
          <w:szCs w:val="24"/>
        </w:rPr>
        <w:t xml:space="preserve"> </w:t>
      </w:r>
    </w:p>
    <w:p w14:paraId="1161CB93" w14:textId="6FCB8F15" w:rsidR="00EB1271" w:rsidRPr="00F52FFB" w:rsidRDefault="00CC1CBB" w:rsidP="00AB0986">
      <w:pPr>
        <w:pStyle w:val="NoSpacing"/>
        <w:spacing w:before="200" w:after="120" w:line="276" w:lineRule="auto"/>
        <w:jc w:val="both"/>
        <w:rPr>
          <w:rFonts w:ascii="Times New Roman" w:hAnsi="Times New Roman" w:cs="Times New Roman"/>
          <w:b/>
          <w:sz w:val="24"/>
          <w:szCs w:val="24"/>
        </w:rPr>
      </w:pPr>
      <w:r w:rsidRPr="00F52FFB">
        <w:rPr>
          <w:rFonts w:ascii="Times New Roman" w:hAnsi="Times New Roman" w:cs="Times New Roman"/>
          <w:b/>
          <w:sz w:val="24"/>
          <w:szCs w:val="24"/>
        </w:rPr>
        <w:t>DAFTAR PUSTAKA</w:t>
      </w:r>
      <w:r w:rsidR="00AB0986">
        <w:rPr>
          <w:rFonts w:ascii="Times New Roman" w:hAnsi="Times New Roman" w:cs="Times New Roman"/>
          <w:b/>
          <w:sz w:val="24"/>
          <w:szCs w:val="24"/>
        </w:rPr>
        <w:t xml:space="preserve"> </w:t>
      </w:r>
    </w:p>
    <w:p w14:paraId="14BAE2E4"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Agyemang, E. B. (2013). Determinants of Dividend Payout Policy of listed Financial Institutions in Ghana. </w:t>
      </w:r>
      <w:r w:rsidRPr="00120D3D">
        <w:rPr>
          <w:rFonts w:ascii="Times New Roman" w:hAnsi="Times New Roman" w:cs="Times New Roman"/>
          <w:i/>
          <w:iCs/>
          <w:noProof/>
          <w:sz w:val="24"/>
          <w:szCs w:val="24"/>
        </w:rPr>
        <w:t>Research Journal of Finance and Accounting</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4</w:t>
      </w:r>
      <w:r w:rsidRPr="00120D3D">
        <w:rPr>
          <w:rFonts w:ascii="Times New Roman" w:hAnsi="Times New Roman" w:cs="Times New Roman"/>
          <w:noProof/>
          <w:sz w:val="24"/>
          <w:szCs w:val="24"/>
        </w:rPr>
        <w:t>(7), 2222–2847. https://doi.org/10.2298/PAN1306725N</w:t>
      </w:r>
    </w:p>
    <w:p w14:paraId="609F0AE2"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Alex, D., &amp; Krishnan, A. (2015). Determinants of dividend yield in the case of Indian companies. </w:t>
      </w:r>
      <w:r w:rsidRPr="00120D3D">
        <w:rPr>
          <w:rFonts w:ascii="Times New Roman" w:hAnsi="Times New Roman" w:cs="Times New Roman"/>
          <w:i/>
          <w:iCs/>
          <w:noProof/>
          <w:sz w:val="24"/>
          <w:szCs w:val="24"/>
        </w:rPr>
        <w:t>Journal of Social Sciences Research</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1</w:t>
      </w:r>
      <w:r w:rsidRPr="00120D3D">
        <w:rPr>
          <w:rFonts w:ascii="Times New Roman" w:hAnsi="Times New Roman" w:cs="Times New Roman"/>
          <w:noProof/>
          <w:sz w:val="24"/>
          <w:szCs w:val="24"/>
        </w:rPr>
        <w:t>(6), 66–71.</w:t>
      </w:r>
    </w:p>
    <w:p w14:paraId="507179EF"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Budagaga, A. R. (2020). Determinants of banks’ dividend payment decisions: evidence from MENA countries. </w:t>
      </w:r>
      <w:r w:rsidRPr="00120D3D">
        <w:rPr>
          <w:rFonts w:ascii="Times New Roman" w:hAnsi="Times New Roman" w:cs="Times New Roman"/>
          <w:i/>
          <w:iCs/>
          <w:noProof/>
          <w:sz w:val="24"/>
          <w:szCs w:val="24"/>
        </w:rPr>
        <w:t>International Journal of Islamic and Middle Eastern Finance and Management</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13</w:t>
      </w:r>
      <w:r w:rsidRPr="00120D3D">
        <w:rPr>
          <w:rFonts w:ascii="Times New Roman" w:hAnsi="Times New Roman" w:cs="Times New Roman"/>
          <w:noProof/>
          <w:sz w:val="24"/>
          <w:szCs w:val="24"/>
        </w:rPr>
        <w:t>(5), 847–871. https://doi.org/10.1108/IMEFM-09-2019-0404</w:t>
      </w:r>
    </w:p>
    <w:p w14:paraId="2C5FAD01"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Darmawan, A. (2011). Pengaruh Ukuran Perusahaan, Usia Perusahaan, Lever</w:t>
      </w:r>
      <w:r w:rsidRPr="00120D3D">
        <w:rPr>
          <w:rFonts w:ascii="Times New Roman" w:hAnsi="Times New Roman" w:cs="Times New Roman"/>
          <w:i/>
          <w:iCs/>
          <w:noProof/>
          <w:sz w:val="24"/>
          <w:szCs w:val="24"/>
        </w:rPr>
        <w:t>age</w:t>
      </w:r>
      <w:r w:rsidRPr="00120D3D">
        <w:rPr>
          <w:rFonts w:ascii="Times New Roman" w:hAnsi="Times New Roman" w:cs="Times New Roman"/>
          <w:noProof/>
          <w:sz w:val="24"/>
          <w:szCs w:val="24"/>
        </w:rPr>
        <w:t xml:space="preserve">, Profitabilitas, Struktur Kepemilikan Saham, Investasi,Peluang Investasi terhadap Dividen,Free Cashflow. </w:t>
      </w:r>
      <w:r w:rsidRPr="00120D3D">
        <w:rPr>
          <w:rFonts w:ascii="Times New Roman" w:hAnsi="Times New Roman" w:cs="Times New Roman"/>
          <w:i/>
          <w:iCs/>
          <w:noProof/>
          <w:sz w:val="24"/>
          <w:szCs w:val="24"/>
        </w:rPr>
        <w:t>Jurnal Aplikasi Manajemen</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9</w:t>
      </w:r>
      <w:r w:rsidRPr="00120D3D">
        <w:rPr>
          <w:rFonts w:ascii="Times New Roman" w:hAnsi="Times New Roman" w:cs="Times New Roman"/>
          <w:noProof/>
          <w:sz w:val="24"/>
          <w:szCs w:val="24"/>
        </w:rPr>
        <w:t>, 1413–1425.</w:t>
      </w:r>
    </w:p>
    <w:p w14:paraId="6D7CB768"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Dewi, K., Pariang, S., &amp; Meiryani. (2020). A Determinants of Dividend Payout Ratio in Indonesian listed Banking. </w:t>
      </w:r>
      <w:r w:rsidRPr="00120D3D">
        <w:rPr>
          <w:rFonts w:ascii="Times New Roman" w:hAnsi="Times New Roman" w:cs="Times New Roman"/>
          <w:i/>
          <w:iCs/>
          <w:noProof/>
          <w:sz w:val="24"/>
          <w:szCs w:val="24"/>
        </w:rPr>
        <w:t>Journal of University of Shanghai for Sciene and Technology</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22</w:t>
      </w:r>
      <w:r w:rsidRPr="00120D3D">
        <w:rPr>
          <w:rFonts w:ascii="Times New Roman" w:hAnsi="Times New Roman" w:cs="Times New Roman"/>
          <w:noProof/>
          <w:sz w:val="24"/>
          <w:szCs w:val="24"/>
        </w:rPr>
        <w:t>(10), 1564–1568.</w:t>
      </w:r>
    </w:p>
    <w:p w14:paraId="64950BE3"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Estiasih, S. P., Prihatiningsih, E., &amp; Fatmawati, Y. (2020). Dividend Payout Ratio, Earning Per Share, Debt To Equity Ratio Terhadap Harga Saham pada Perusahaan LQ45. </w:t>
      </w:r>
      <w:r w:rsidRPr="00120D3D">
        <w:rPr>
          <w:rFonts w:ascii="Times New Roman" w:hAnsi="Times New Roman" w:cs="Times New Roman"/>
          <w:i/>
          <w:iCs/>
          <w:noProof/>
          <w:sz w:val="24"/>
          <w:szCs w:val="24"/>
        </w:rPr>
        <w:t>Jurnal Akuntansi Dan Pajak</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21</w:t>
      </w:r>
      <w:r w:rsidRPr="00120D3D">
        <w:rPr>
          <w:rFonts w:ascii="Times New Roman" w:hAnsi="Times New Roman" w:cs="Times New Roman"/>
          <w:noProof/>
          <w:sz w:val="24"/>
          <w:szCs w:val="24"/>
        </w:rPr>
        <w:t>(1), 205–212.</w:t>
      </w:r>
    </w:p>
    <w:p w14:paraId="44F5EE16"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Hellström, G., &amp; Inagambaev, G. (2012). Determinants of Dividend Payout </w:t>
      </w:r>
      <w:r w:rsidRPr="00120D3D">
        <w:rPr>
          <w:rFonts w:ascii="Times New Roman" w:hAnsi="Times New Roman" w:cs="Times New Roman"/>
          <w:noProof/>
          <w:sz w:val="24"/>
          <w:szCs w:val="24"/>
        </w:rPr>
        <w:lastRenderedPageBreak/>
        <w:t xml:space="preserve">Ratios: A Study of Swedish Large and Medium Caps. </w:t>
      </w:r>
      <w:r w:rsidRPr="00120D3D">
        <w:rPr>
          <w:rFonts w:ascii="Times New Roman" w:hAnsi="Times New Roman" w:cs="Times New Roman"/>
          <w:i/>
          <w:iCs/>
          <w:noProof/>
          <w:sz w:val="24"/>
          <w:szCs w:val="24"/>
        </w:rPr>
        <w:t>The Journal of Risk Finance</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7</w:t>
      </w:r>
      <w:r w:rsidRPr="00120D3D">
        <w:rPr>
          <w:rFonts w:ascii="Times New Roman" w:hAnsi="Times New Roman" w:cs="Times New Roman"/>
          <w:noProof/>
          <w:sz w:val="24"/>
          <w:szCs w:val="24"/>
        </w:rPr>
        <w:t>(2), 136–145.</w:t>
      </w:r>
    </w:p>
    <w:p w14:paraId="29BBAE0A"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Hosain, M. Z. (2016). Determinants of the Dividend Payout Policy : A Study on Listed Private Commercial Banks of Dhaka Stock Exchange Limited in Bangladesh. </w:t>
      </w:r>
      <w:r w:rsidRPr="00120D3D">
        <w:rPr>
          <w:rFonts w:ascii="Times New Roman" w:hAnsi="Times New Roman" w:cs="Times New Roman"/>
          <w:i/>
          <w:iCs/>
          <w:noProof/>
          <w:sz w:val="24"/>
          <w:szCs w:val="24"/>
        </w:rPr>
        <w:t>IOSR Journal of Economics and Finance (IOSR-JEF)</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7</w:t>
      </w:r>
      <w:r w:rsidRPr="00120D3D">
        <w:rPr>
          <w:rFonts w:ascii="Times New Roman" w:hAnsi="Times New Roman" w:cs="Times New Roman"/>
          <w:noProof/>
          <w:sz w:val="24"/>
          <w:szCs w:val="24"/>
        </w:rPr>
        <w:t>(5), 1–10. https://doi.org/10.9790/5933-0705040110</w:t>
      </w:r>
    </w:p>
    <w:p w14:paraId="20108CA0"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Hsiao, Y., &amp; Tseng, Y. (2014). Bank Capital Regulation and Dividend Policy. </w:t>
      </w:r>
      <w:r w:rsidRPr="00120D3D">
        <w:rPr>
          <w:rFonts w:ascii="Times New Roman" w:hAnsi="Times New Roman" w:cs="Times New Roman"/>
          <w:i/>
          <w:iCs/>
          <w:noProof/>
          <w:sz w:val="24"/>
          <w:szCs w:val="24"/>
        </w:rPr>
        <w:t>Journal of Financial Studies</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24</w:t>
      </w:r>
      <w:r w:rsidRPr="00120D3D">
        <w:rPr>
          <w:rFonts w:ascii="Times New Roman" w:hAnsi="Times New Roman" w:cs="Times New Roman"/>
          <w:noProof/>
          <w:sz w:val="24"/>
          <w:szCs w:val="24"/>
        </w:rPr>
        <w:t>(3), 45–68.</w:t>
      </w:r>
    </w:p>
    <w:p w14:paraId="35EFAB8B"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Imran, K. (2011). Determinants of Dividend Payout Policy: A Case of Pakistan Engineering Sector. </w:t>
      </w:r>
      <w:r w:rsidRPr="00120D3D">
        <w:rPr>
          <w:rFonts w:ascii="Times New Roman" w:hAnsi="Times New Roman" w:cs="Times New Roman"/>
          <w:i/>
          <w:iCs/>
          <w:noProof/>
          <w:sz w:val="24"/>
          <w:szCs w:val="24"/>
        </w:rPr>
        <w:t>The Romanian Economic Journal</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14</w:t>
      </w:r>
      <w:r w:rsidRPr="00120D3D">
        <w:rPr>
          <w:rFonts w:ascii="Times New Roman" w:hAnsi="Times New Roman" w:cs="Times New Roman"/>
          <w:noProof/>
          <w:sz w:val="24"/>
          <w:szCs w:val="24"/>
        </w:rPr>
        <w:t>(41), 47–60.</w:t>
      </w:r>
    </w:p>
    <w:p w14:paraId="4694D008"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Karauan, P., Murni, S., &amp; Tulung, J. (2017). PENGARUH KINERJA KEUANGAN TERHADAP KEBIJAKAN DIVIDEN PADA BANK BUMN YANG GO PUBLIC DI BURSA EFEK INDONESIA TAHUN 2011-2015. </w:t>
      </w:r>
      <w:r w:rsidRPr="00120D3D">
        <w:rPr>
          <w:rFonts w:ascii="Times New Roman" w:hAnsi="Times New Roman" w:cs="Times New Roman"/>
          <w:i/>
          <w:iCs/>
          <w:noProof/>
          <w:sz w:val="24"/>
          <w:szCs w:val="24"/>
        </w:rPr>
        <w:t>Jurnal EMBA: Jurnal Riset Ekonomi, Manajemen, Bisnis Dan Akuntansi</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5</w:t>
      </w:r>
      <w:r w:rsidRPr="00120D3D">
        <w:rPr>
          <w:rFonts w:ascii="Times New Roman" w:hAnsi="Times New Roman" w:cs="Times New Roman"/>
          <w:noProof/>
          <w:sz w:val="24"/>
          <w:szCs w:val="24"/>
        </w:rPr>
        <w:t>(2), 935–944.</w:t>
      </w:r>
    </w:p>
    <w:p w14:paraId="55FDA942"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Khan, M. N., Naeem, M. U., Rizwan, M., &amp; Salman, M. (2016). Factors Affecting the Firm Dividend Policy : An Empirical Evidence from Textile Sector of Pakistan. </w:t>
      </w:r>
      <w:r w:rsidRPr="00120D3D">
        <w:rPr>
          <w:rFonts w:ascii="Times New Roman" w:hAnsi="Times New Roman" w:cs="Times New Roman"/>
          <w:i/>
          <w:iCs/>
          <w:noProof/>
          <w:sz w:val="24"/>
          <w:szCs w:val="24"/>
        </w:rPr>
        <w:t>International Journal of Advanced Scientific Research and Management</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1</w:t>
      </w:r>
      <w:r w:rsidRPr="00120D3D">
        <w:rPr>
          <w:rFonts w:ascii="Times New Roman" w:hAnsi="Times New Roman" w:cs="Times New Roman"/>
          <w:noProof/>
          <w:sz w:val="24"/>
          <w:szCs w:val="24"/>
        </w:rPr>
        <w:t>(5), 144–149.</w:t>
      </w:r>
    </w:p>
    <w:p w14:paraId="7F532775"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Leon, F. M., &amp; Putra, P. M. (2014). The Determinant Factor of Dividend Policy at Non Finance Listed Companies. </w:t>
      </w:r>
      <w:r w:rsidRPr="00120D3D">
        <w:rPr>
          <w:rFonts w:ascii="Times New Roman" w:hAnsi="Times New Roman" w:cs="Times New Roman"/>
          <w:i/>
          <w:iCs/>
          <w:noProof/>
          <w:sz w:val="24"/>
          <w:szCs w:val="24"/>
        </w:rPr>
        <w:t>International Journal of Engineering, Business and Enterprise Applications</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2006</w:t>
      </w:r>
      <w:r w:rsidRPr="00120D3D">
        <w:rPr>
          <w:rFonts w:ascii="Times New Roman" w:hAnsi="Times New Roman" w:cs="Times New Roman"/>
          <w:noProof/>
          <w:sz w:val="24"/>
          <w:szCs w:val="24"/>
        </w:rPr>
        <w:t>, 22–26.</w:t>
      </w:r>
    </w:p>
    <w:p w14:paraId="341DB595"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lastRenderedPageBreak/>
        <w:t xml:space="preserve">Lepetit, L., Meslier, C., Strobel, F., &amp; Wardhana, L. (2018). Bank dividends, </w:t>
      </w:r>
      <w:r w:rsidRPr="00120D3D">
        <w:rPr>
          <w:rFonts w:ascii="Times New Roman" w:hAnsi="Times New Roman" w:cs="Times New Roman"/>
          <w:i/>
          <w:iCs/>
          <w:noProof/>
          <w:sz w:val="24"/>
          <w:szCs w:val="24"/>
        </w:rPr>
        <w:t>age</w:t>
      </w:r>
      <w:r w:rsidRPr="00120D3D">
        <w:rPr>
          <w:rFonts w:ascii="Times New Roman" w:hAnsi="Times New Roman" w:cs="Times New Roman"/>
          <w:noProof/>
          <w:sz w:val="24"/>
          <w:szCs w:val="24"/>
        </w:rPr>
        <w:t xml:space="preserve">ncy costs and shareholder and creditor rights. </w:t>
      </w:r>
      <w:r w:rsidRPr="00120D3D">
        <w:rPr>
          <w:rFonts w:ascii="Times New Roman" w:hAnsi="Times New Roman" w:cs="Times New Roman"/>
          <w:i/>
          <w:iCs/>
          <w:noProof/>
          <w:sz w:val="24"/>
          <w:szCs w:val="24"/>
        </w:rPr>
        <w:t>International Review of Financial Analysis</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56</w:t>
      </w:r>
      <w:r w:rsidRPr="00120D3D">
        <w:rPr>
          <w:rFonts w:ascii="Times New Roman" w:hAnsi="Times New Roman" w:cs="Times New Roman"/>
          <w:noProof/>
          <w:sz w:val="24"/>
          <w:szCs w:val="24"/>
        </w:rPr>
        <w:t>, 93–111. https://doi.org/10.1016/j.irfa.2017.12.007</w:t>
      </w:r>
    </w:p>
    <w:p w14:paraId="72CBD531"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Pattiruhu, J. R., &amp; Paais, M. (2020). Effect of Liquidity, Profitability, Lever</w:t>
      </w:r>
      <w:r w:rsidRPr="00120D3D">
        <w:rPr>
          <w:rFonts w:ascii="Times New Roman" w:hAnsi="Times New Roman" w:cs="Times New Roman"/>
          <w:i/>
          <w:iCs/>
          <w:noProof/>
          <w:sz w:val="24"/>
          <w:szCs w:val="24"/>
        </w:rPr>
        <w:t>age</w:t>
      </w:r>
      <w:r w:rsidRPr="00120D3D">
        <w:rPr>
          <w:rFonts w:ascii="Times New Roman" w:hAnsi="Times New Roman" w:cs="Times New Roman"/>
          <w:noProof/>
          <w:sz w:val="24"/>
          <w:szCs w:val="24"/>
        </w:rPr>
        <w:t xml:space="preserve">, and Firm Size on Dividend Policy. </w:t>
      </w:r>
      <w:r w:rsidRPr="00120D3D">
        <w:rPr>
          <w:rFonts w:ascii="Times New Roman" w:hAnsi="Times New Roman" w:cs="Times New Roman"/>
          <w:i/>
          <w:iCs/>
          <w:noProof/>
          <w:sz w:val="24"/>
          <w:szCs w:val="24"/>
        </w:rPr>
        <w:t>Journal of Asian Finance, Economics and Business</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7</w:t>
      </w:r>
      <w:r w:rsidRPr="00120D3D">
        <w:rPr>
          <w:rFonts w:ascii="Times New Roman" w:hAnsi="Times New Roman" w:cs="Times New Roman"/>
          <w:noProof/>
          <w:sz w:val="24"/>
          <w:szCs w:val="24"/>
        </w:rPr>
        <w:t>(10), 35–42. https://doi.org/10.13106/jafeb.2020.vol7.no10.035</w:t>
      </w:r>
    </w:p>
    <w:p w14:paraId="10BE9E42"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Pribadi, A. S., &amp; Sampurno, R. D. (2012). Analisis Pengaruh Cash Position, Firm Size, Growth Opprtunity, Ownership, dan Return on asset terhadap Dividend Payout Ratio. </w:t>
      </w:r>
      <w:r w:rsidRPr="00120D3D">
        <w:rPr>
          <w:rFonts w:ascii="Times New Roman" w:hAnsi="Times New Roman" w:cs="Times New Roman"/>
          <w:i/>
          <w:iCs/>
          <w:noProof/>
          <w:sz w:val="24"/>
          <w:szCs w:val="24"/>
        </w:rPr>
        <w:t>Diponegoro Journal of Management</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1</w:t>
      </w:r>
      <w:r w:rsidRPr="00120D3D">
        <w:rPr>
          <w:rFonts w:ascii="Times New Roman" w:hAnsi="Times New Roman" w:cs="Times New Roman"/>
          <w:noProof/>
          <w:sz w:val="24"/>
          <w:szCs w:val="24"/>
        </w:rPr>
        <w:t>(4), 201–211.</w:t>
      </w:r>
    </w:p>
    <w:p w14:paraId="7BC9FB5A"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Rasyid, R. (2018). Pengaruh Kinerja Keuangan Terhadap Kebijakan Dividen (Studi Pada Industri Perbankan Yang Terdaftar Di Bei). </w:t>
      </w:r>
      <w:r w:rsidRPr="00120D3D">
        <w:rPr>
          <w:rFonts w:ascii="Times New Roman" w:hAnsi="Times New Roman" w:cs="Times New Roman"/>
          <w:i/>
          <w:iCs/>
          <w:noProof/>
          <w:sz w:val="24"/>
          <w:szCs w:val="24"/>
        </w:rPr>
        <w:t>Jurnal Muara Ilmu Ekonomi Dan Bisnis</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2</w:t>
      </w:r>
      <w:r w:rsidRPr="00120D3D">
        <w:rPr>
          <w:rFonts w:ascii="Times New Roman" w:hAnsi="Times New Roman" w:cs="Times New Roman"/>
          <w:noProof/>
          <w:sz w:val="24"/>
          <w:szCs w:val="24"/>
        </w:rPr>
        <w:t>(1), 188. https://doi.org/10.24912/jmieb.v2i1.1744</w:t>
      </w:r>
    </w:p>
    <w:p w14:paraId="0EBCA070"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Sahaida.,L., H. (2017). Analysis on Dividend Payout: Empirical Evidence of Property Companies in Malaysia. </w:t>
      </w:r>
      <w:r w:rsidRPr="00120D3D">
        <w:rPr>
          <w:rFonts w:ascii="Times New Roman" w:hAnsi="Times New Roman" w:cs="Times New Roman"/>
          <w:i/>
          <w:iCs/>
          <w:noProof/>
          <w:sz w:val="24"/>
          <w:szCs w:val="24"/>
        </w:rPr>
        <w:t>International Journal of Industrial Management (IJIM)</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3</w:t>
      </w:r>
      <w:r w:rsidRPr="00120D3D">
        <w:rPr>
          <w:rFonts w:ascii="Times New Roman" w:hAnsi="Times New Roman" w:cs="Times New Roman"/>
          <w:noProof/>
          <w:sz w:val="24"/>
          <w:szCs w:val="24"/>
        </w:rPr>
        <w:t>(June), 61–71.</w:t>
      </w:r>
    </w:p>
    <w:p w14:paraId="75639C29"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Septiadi, A. (2020). </w:t>
      </w:r>
      <w:r w:rsidRPr="00120D3D">
        <w:rPr>
          <w:rFonts w:ascii="Times New Roman" w:hAnsi="Times New Roman" w:cs="Times New Roman"/>
          <w:i/>
          <w:iCs/>
          <w:noProof/>
          <w:sz w:val="24"/>
          <w:szCs w:val="24"/>
        </w:rPr>
        <w:t>Begini Nasib Industri Perbankan di Saat Pandemi Virus Corona (Covid-19)</w:t>
      </w:r>
      <w:r w:rsidRPr="00120D3D">
        <w:rPr>
          <w:rFonts w:ascii="Times New Roman" w:hAnsi="Times New Roman" w:cs="Times New Roman"/>
          <w:noProof/>
          <w:sz w:val="24"/>
          <w:szCs w:val="24"/>
        </w:rPr>
        <w:t>. Kontan.Co.Id. https://keuangan.kontan.co.id/news/begini-nasib-industri-perbankan-di-saat-pandemi-virus-corona-covid-19</w:t>
      </w:r>
    </w:p>
    <w:p w14:paraId="096AC8EF"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Simanjuntak, S. M. (2016). Pengaruh Return On Asset , Growth , Total Asset Turnover , Ownership , Firm Size Dan Debt To Total Asset Terhadap Dividend Payout Ratio Pada </w:t>
      </w:r>
      <w:r w:rsidRPr="00120D3D">
        <w:rPr>
          <w:rFonts w:ascii="Times New Roman" w:hAnsi="Times New Roman" w:cs="Times New Roman"/>
          <w:noProof/>
          <w:sz w:val="24"/>
          <w:szCs w:val="24"/>
        </w:rPr>
        <w:lastRenderedPageBreak/>
        <w:t xml:space="preserve">Perusahaan Yang Terdaftar Di Bursa Efek Indonesia. </w:t>
      </w:r>
      <w:r w:rsidRPr="00120D3D">
        <w:rPr>
          <w:rFonts w:ascii="Times New Roman" w:hAnsi="Times New Roman" w:cs="Times New Roman"/>
          <w:i/>
          <w:iCs/>
          <w:noProof/>
          <w:sz w:val="24"/>
          <w:szCs w:val="24"/>
        </w:rPr>
        <w:t>Jurnal Lentera Akuntansi</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2</w:t>
      </w:r>
      <w:r w:rsidRPr="00120D3D">
        <w:rPr>
          <w:rFonts w:ascii="Times New Roman" w:hAnsi="Times New Roman" w:cs="Times New Roman"/>
          <w:noProof/>
          <w:sz w:val="24"/>
          <w:szCs w:val="24"/>
        </w:rPr>
        <w:t>(2), 101–116.</w:t>
      </w:r>
    </w:p>
    <w:p w14:paraId="60AB2C00" w14:textId="77777777" w:rsidR="00EB1271" w:rsidRPr="00120D3D"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Utami, A. P. S., &amp; Darmayanti, N. P. A. (2018). Pengaruh Keputusan Investasi, Keputusan Pendanaan Dan Kebijakan Dividen Terhadap Nilai Perusahaan Food and Bever</w:t>
      </w:r>
      <w:r w:rsidRPr="00120D3D">
        <w:rPr>
          <w:rFonts w:ascii="Times New Roman" w:hAnsi="Times New Roman" w:cs="Times New Roman"/>
          <w:i/>
          <w:iCs/>
          <w:noProof/>
          <w:sz w:val="24"/>
          <w:szCs w:val="24"/>
        </w:rPr>
        <w:t>age</w:t>
      </w:r>
      <w:r w:rsidRPr="00120D3D">
        <w:rPr>
          <w:rFonts w:ascii="Times New Roman" w:hAnsi="Times New Roman" w:cs="Times New Roman"/>
          <w:noProof/>
          <w:sz w:val="24"/>
          <w:szCs w:val="24"/>
        </w:rPr>
        <w:t xml:space="preserve">s. </w:t>
      </w:r>
      <w:r w:rsidRPr="00120D3D">
        <w:rPr>
          <w:rFonts w:ascii="Times New Roman" w:hAnsi="Times New Roman" w:cs="Times New Roman"/>
          <w:i/>
          <w:iCs/>
          <w:noProof/>
          <w:sz w:val="24"/>
          <w:szCs w:val="24"/>
        </w:rPr>
        <w:t>E-Jurnal Manajemen Universitas Udayana</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7</w:t>
      </w:r>
      <w:r w:rsidRPr="00120D3D">
        <w:rPr>
          <w:rFonts w:ascii="Times New Roman" w:hAnsi="Times New Roman" w:cs="Times New Roman"/>
          <w:noProof/>
          <w:sz w:val="24"/>
          <w:szCs w:val="24"/>
        </w:rPr>
        <w:t xml:space="preserve">(10), 5719. </w:t>
      </w:r>
      <w:r w:rsidRPr="00120D3D">
        <w:rPr>
          <w:rFonts w:ascii="Times New Roman" w:hAnsi="Times New Roman" w:cs="Times New Roman"/>
          <w:noProof/>
          <w:sz w:val="24"/>
          <w:szCs w:val="24"/>
        </w:rPr>
        <w:lastRenderedPageBreak/>
        <w:t>https://doi.org/10.24843/ejmunud.2018.v07.i10.p18</w:t>
      </w:r>
    </w:p>
    <w:p w14:paraId="58A650CE" w14:textId="01D69BF5" w:rsidR="00AB0986" w:rsidRPr="00EB1271" w:rsidRDefault="00EB1271" w:rsidP="00EB1271">
      <w:pPr>
        <w:widowControl w:val="0"/>
        <w:autoSpaceDE w:val="0"/>
        <w:autoSpaceDN w:val="0"/>
        <w:adjustRightInd w:val="0"/>
        <w:spacing w:before="20" w:after="240" w:line="240" w:lineRule="auto"/>
        <w:ind w:left="480" w:hanging="480"/>
        <w:jc w:val="both"/>
        <w:rPr>
          <w:rFonts w:ascii="Times New Roman" w:hAnsi="Times New Roman" w:cs="Times New Roman"/>
          <w:noProof/>
          <w:sz w:val="24"/>
          <w:szCs w:val="24"/>
        </w:rPr>
      </w:pPr>
      <w:r w:rsidRPr="00120D3D">
        <w:rPr>
          <w:rFonts w:ascii="Times New Roman" w:hAnsi="Times New Roman" w:cs="Times New Roman"/>
          <w:noProof/>
          <w:sz w:val="24"/>
          <w:szCs w:val="24"/>
        </w:rPr>
        <w:t xml:space="preserve">Yusuf, A., &amp; Muhammed, N. (2015). Determinant of dividend payout in Nigerian banking industry. </w:t>
      </w:r>
      <w:r w:rsidRPr="00120D3D">
        <w:rPr>
          <w:rFonts w:ascii="Times New Roman" w:hAnsi="Times New Roman" w:cs="Times New Roman"/>
          <w:i/>
          <w:iCs/>
          <w:noProof/>
          <w:sz w:val="24"/>
          <w:szCs w:val="24"/>
        </w:rPr>
        <w:t>Scholars Bulletin</w:t>
      </w:r>
      <w:r w:rsidRPr="00120D3D">
        <w:rPr>
          <w:rFonts w:ascii="Times New Roman" w:hAnsi="Times New Roman" w:cs="Times New Roman"/>
          <w:noProof/>
          <w:sz w:val="24"/>
          <w:szCs w:val="24"/>
        </w:rPr>
        <w:t xml:space="preserve">, </w:t>
      </w:r>
      <w:r w:rsidRPr="00120D3D">
        <w:rPr>
          <w:rFonts w:ascii="Times New Roman" w:hAnsi="Times New Roman" w:cs="Times New Roman"/>
          <w:i/>
          <w:iCs/>
          <w:noProof/>
          <w:sz w:val="24"/>
          <w:szCs w:val="24"/>
        </w:rPr>
        <w:t>1</w:t>
      </w:r>
      <w:r>
        <w:rPr>
          <w:rFonts w:ascii="Times New Roman" w:hAnsi="Times New Roman" w:cs="Times New Roman"/>
          <w:noProof/>
          <w:sz w:val="24"/>
          <w:szCs w:val="24"/>
        </w:rPr>
        <w:t>(9), 253–259.</w:t>
      </w:r>
    </w:p>
    <w:p w14:paraId="7F76E2F9" w14:textId="77777777" w:rsidR="00AB0986" w:rsidRDefault="00AB0986" w:rsidP="00AB0986">
      <w:pPr>
        <w:spacing w:after="0" w:line="240" w:lineRule="auto"/>
        <w:jc w:val="both"/>
        <w:rPr>
          <w:rFonts w:ascii="Times New Roman" w:eastAsia="Times New Roman" w:hAnsi="Times New Roman" w:cs="Times New Roman"/>
          <w:sz w:val="24"/>
          <w:szCs w:val="24"/>
        </w:rPr>
      </w:pPr>
    </w:p>
    <w:p w14:paraId="2B1064CC" w14:textId="77777777" w:rsidR="00143CFB" w:rsidRPr="00FE3D7B" w:rsidRDefault="00143CFB" w:rsidP="00143CFB">
      <w:pPr>
        <w:pStyle w:val="NoSpacing"/>
        <w:ind w:left="567" w:hanging="558"/>
        <w:jc w:val="both"/>
        <w:rPr>
          <w:rFonts w:ascii="Times New Roman" w:hAnsi="Times New Roman" w:cs="Times New Roman"/>
          <w:sz w:val="24"/>
          <w:szCs w:val="24"/>
        </w:rPr>
      </w:pPr>
    </w:p>
    <w:p w14:paraId="1062B77D" w14:textId="35144DD0" w:rsidR="00135106" w:rsidRDefault="00CC1CBB" w:rsidP="000320D3">
      <w:pPr>
        <w:pStyle w:val="NoSpacing"/>
        <w:ind w:left="567" w:hanging="558"/>
        <w:jc w:val="both"/>
        <w:rPr>
          <w:rFonts w:ascii="Times New Roman" w:hAnsi="Times New Roman" w:cs="Times New Roman"/>
          <w:sz w:val="24"/>
          <w:szCs w:val="24"/>
        </w:rPr>
      </w:pPr>
      <w:r w:rsidRPr="00F52FFB">
        <w:rPr>
          <w:rFonts w:ascii="Times New Roman" w:hAnsi="Times New Roman" w:cs="Times New Roman"/>
          <w:sz w:val="24"/>
          <w:szCs w:val="24"/>
        </w:rPr>
        <w:t xml:space="preserve">. </w:t>
      </w:r>
    </w:p>
    <w:p w14:paraId="6D2E652A" w14:textId="77777777" w:rsidR="00CC1CBB" w:rsidRDefault="00CC1CBB" w:rsidP="00612CA5">
      <w:pPr>
        <w:pStyle w:val="NoSpacing"/>
        <w:ind w:left="1701" w:hanging="1701"/>
        <w:jc w:val="both"/>
        <w:rPr>
          <w:rFonts w:ascii="Times New Roman" w:hAnsi="Times New Roman" w:cs="Times New Roman"/>
          <w:sz w:val="24"/>
          <w:szCs w:val="24"/>
        </w:rPr>
        <w:sectPr w:rsidR="00CC1CBB" w:rsidSect="00FF662D">
          <w:type w:val="continuous"/>
          <w:pgSz w:w="11906" w:h="16838"/>
          <w:pgMar w:top="1440" w:right="1440" w:bottom="1440" w:left="1440" w:header="709" w:footer="709" w:gutter="0"/>
          <w:cols w:num="2" w:space="708"/>
          <w:docGrid w:linePitch="360"/>
        </w:sectPr>
      </w:pPr>
    </w:p>
    <w:p w14:paraId="27EBEA67" w14:textId="77777777" w:rsidR="00CC1CBB" w:rsidRPr="00F52FFB" w:rsidRDefault="00CC1CBB" w:rsidP="00CC1CBB">
      <w:pPr>
        <w:pStyle w:val="NoSpacing"/>
        <w:ind w:left="1701" w:hanging="981"/>
        <w:jc w:val="both"/>
        <w:rPr>
          <w:rFonts w:ascii="Times New Roman" w:hAnsi="Times New Roman" w:cs="Times New Roman"/>
          <w:sz w:val="24"/>
          <w:szCs w:val="24"/>
        </w:rPr>
      </w:pPr>
    </w:p>
    <w:p w14:paraId="4146F39D" w14:textId="69E7DF07" w:rsidR="006C6650" w:rsidRPr="00AB0986" w:rsidRDefault="006C6650" w:rsidP="00AB0986">
      <w:pPr>
        <w:jc w:val="both"/>
        <w:rPr>
          <w:b/>
        </w:rPr>
      </w:pPr>
    </w:p>
    <w:sectPr w:rsidR="006C6650" w:rsidRPr="00AB0986" w:rsidSect="00FF662D">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9A6CA" w14:textId="77777777" w:rsidR="000F4AC2" w:rsidRDefault="000F4AC2" w:rsidP="004D4823">
      <w:pPr>
        <w:spacing w:after="0" w:line="240" w:lineRule="auto"/>
      </w:pPr>
      <w:r>
        <w:separator/>
      </w:r>
    </w:p>
  </w:endnote>
  <w:endnote w:type="continuationSeparator" w:id="0">
    <w:p w14:paraId="742301FB" w14:textId="77777777" w:rsidR="000F4AC2" w:rsidRDefault="000F4AC2" w:rsidP="004D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544A" w14:textId="43E4CB66" w:rsidR="007B12F1" w:rsidRDefault="007B12F1" w:rsidP="007B12F1">
    <w:pPr>
      <w:pStyle w:val="Footer"/>
      <w:jc w:val="both"/>
      <w:rPr>
        <w:rFonts w:ascii="Times New Roman" w:hAnsi="Times New Roman"/>
        <w:sz w:val="18"/>
      </w:rPr>
    </w:pPr>
    <w:r>
      <w:rPr>
        <w:rFonts w:ascii="Times New Roman" w:hAnsi="Times New Roman"/>
        <w:noProof/>
        <w:sz w:val="18"/>
        <w:lang w:val="id-ID" w:eastAsia="id-ID"/>
      </w:rPr>
      <mc:AlternateContent>
        <mc:Choice Requires="wps">
          <w:drawing>
            <wp:anchor distT="0" distB="0" distL="114300" distR="114300" simplePos="0" relativeHeight="251659264" behindDoc="0" locked="0" layoutInCell="1" allowOverlap="1" wp14:anchorId="3B5BE292" wp14:editId="6413FF3F">
              <wp:simplePos x="0" y="0"/>
              <wp:positionH relativeFrom="column">
                <wp:posOffset>-19050</wp:posOffset>
              </wp:positionH>
              <wp:positionV relativeFrom="paragraph">
                <wp:posOffset>24765</wp:posOffset>
              </wp:positionV>
              <wp:extent cx="57626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249650E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95pt" to="452.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" strokecolor="black [3200]" strokeweight="2.25pt">
              <v:stroke joinstyle="miter"/>
            </v:line>
          </w:pict>
        </mc:Fallback>
      </mc:AlternateContent>
    </w:r>
  </w:p>
  <w:p w14:paraId="2D6AE4E6" w14:textId="61D2AE62" w:rsidR="007B12F1" w:rsidRPr="003E6642" w:rsidRDefault="007B12F1" w:rsidP="007B12F1">
    <w:pPr>
      <w:pStyle w:val="Footer"/>
      <w:jc w:val="both"/>
      <w:rPr>
        <w:rFonts w:ascii="Times New Roman" w:hAnsi="Times New Roman"/>
        <w:b/>
        <w:sz w:val="18"/>
      </w:rPr>
    </w:pPr>
    <w:r w:rsidRPr="008723A1">
      <w:rPr>
        <w:rFonts w:ascii="Times New Roman" w:hAnsi="Times New Roman"/>
        <w:sz w:val="18"/>
      </w:rPr>
      <w:t xml:space="preserve">Cara mengutip: </w:t>
    </w:r>
    <w:r w:rsidR="003E6642">
      <w:rPr>
        <w:rFonts w:ascii="Times New Roman" w:hAnsi="Times New Roman"/>
        <w:b/>
        <w:sz w:val="18"/>
      </w:rPr>
      <w:t>DARI EDITOR</w:t>
    </w:r>
  </w:p>
  <w:p w14:paraId="726546C5" w14:textId="77777777" w:rsidR="003E6642" w:rsidRDefault="003E6642" w:rsidP="007B12F1">
    <w:pPr>
      <w:pStyle w:val="Footer"/>
      <w:jc w:val="both"/>
      <w:rPr>
        <w:rFonts w:ascii="Times New Roman" w:hAnsi="Times New Roman"/>
        <w:sz w:val="18"/>
      </w:rPr>
    </w:pPr>
  </w:p>
  <w:p w14:paraId="78DC1BBA" w14:textId="77777777" w:rsidR="007B12F1" w:rsidRDefault="007B12F1" w:rsidP="007B12F1">
    <w:pPr>
      <w:pStyle w:val="Footer"/>
      <w:rPr>
        <w:rFonts w:ascii="Times New Roman" w:hAnsi="Times New Roman"/>
        <w:sz w:val="18"/>
      </w:rPr>
    </w:pPr>
  </w:p>
  <w:p w14:paraId="2F20960C" w14:textId="6A78DF48" w:rsidR="007B12F1" w:rsidRPr="008723A1" w:rsidRDefault="007B12F1" w:rsidP="007B12F1">
    <w:pPr>
      <w:pStyle w:val="Footer"/>
      <w:rPr>
        <w:rFonts w:ascii="Times New Roman" w:hAnsi="Times New Roman" w:cs="Times New Roman"/>
        <w:sz w:val="18"/>
      </w:rPr>
    </w:pPr>
    <w:r>
      <w:rPr>
        <w:rFonts w:ascii="Times New Roman" w:hAnsi="Times New Roman"/>
        <w:sz w:val="18"/>
      </w:rPr>
      <w:t xml:space="preserve">Retrieved from </w:t>
    </w:r>
    <w:r w:rsidRPr="007C6022">
      <w:rPr>
        <w:rFonts w:ascii="Times New Roman" w:hAnsi="Times New Roman" w:cs="Times New Roman"/>
        <w:sz w:val="18"/>
      </w:rPr>
      <w:t>https://jurnal.unitri.ac.id/inde</w:t>
    </w:r>
    <w:r>
      <w:rPr>
        <w:rFonts w:ascii="Times New Roman" w:hAnsi="Times New Roman"/>
        <w:sz w:val="18"/>
      </w:rPr>
      <w:t>x.php/refrensi/article/view/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A4F6E" w14:textId="77777777" w:rsidR="000F4AC2" w:rsidRDefault="000F4AC2" w:rsidP="004D4823">
      <w:pPr>
        <w:spacing w:after="0" w:line="240" w:lineRule="auto"/>
      </w:pPr>
      <w:r>
        <w:separator/>
      </w:r>
    </w:p>
  </w:footnote>
  <w:footnote w:type="continuationSeparator" w:id="0">
    <w:p w14:paraId="04FD8C03" w14:textId="77777777" w:rsidR="000F4AC2" w:rsidRDefault="000F4AC2" w:rsidP="004D4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884743"/>
      <w:docPartObj>
        <w:docPartGallery w:val="Page Numbers (Top of Page)"/>
        <w:docPartUnique/>
      </w:docPartObj>
    </w:sdtPr>
    <w:sdtEndPr>
      <w:rPr>
        <w:rFonts w:ascii="Times New Roman" w:hAnsi="Times New Roman"/>
        <w:noProof/>
      </w:rPr>
    </w:sdtEndPr>
    <w:sdtContent>
      <w:p w14:paraId="6AE5F530" w14:textId="03F967C9" w:rsidR="007B12F1" w:rsidRPr="001003AE" w:rsidRDefault="0062002D" w:rsidP="0062002D">
        <w:pPr>
          <w:pStyle w:val="Header"/>
          <w:tabs>
            <w:tab w:val="clear" w:pos="4680"/>
            <w:tab w:val="clear" w:pos="9360"/>
            <w:tab w:val="left" w:pos="5790"/>
          </w:tabs>
          <w:rPr>
            <w:rFonts w:ascii="Times New Roman" w:hAnsi="Times New Roman" w:cs="Times New Roman"/>
            <w:noProof/>
          </w:rPr>
        </w:pPr>
        <w:r>
          <w:rPr>
            <w:rFonts w:ascii="Times New Roman" w:hAnsi="Times New Roman" w:cs="Times New Roman"/>
            <w:noProof/>
          </w:rPr>
          <w:tab/>
        </w:r>
      </w:p>
      <w:p w14:paraId="12FC1C17" w14:textId="59E0AD46" w:rsidR="007B12F1" w:rsidRPr="0006342C" w:rsidRDefault="007B12F1" w:rsidP="007B12F1">
        <w:pPr>
          <w:pStyle w:val="Header"/>
          <w:spacing w:after="240"/>
          <w:jc w:val="right"/>
          <w:rPr>
            <w:rFonts w:ascii="Times New Roman" w:hAnsi="Times New Roman"/>
          </w:rPr>
        </w:pPr>
        <w:proofErr w:type="gramStart"/>
        <w:r>
          <w:rPr>
            <w:rFonts w:ascii="Book Antiqua" w:hAnsi="Book Antiqua"/>
            <w:i/>
            <w:sz w:val="20"/>
            <w:szCs w:val="20"/>
          </w:rPr>
          <w:t>Refere</w:t>
        </w:r>
        <w:r w:rsidRPr="00DD5C2A">
          <w:rPr>
            <w:rFonts w:ascii="Book Antiqua" w:hAnsi="Book Antiqua"/>
            <w:i/>
            <w:sz w:val="20"/>
            <w:szCs w:val="20"/>
          </w:rPr>
          <w:t>nsi</w:t>
        </w:r>
        <w:r>
          <w:rPr>
            <w:rFonts w:ascii="Book Antiqua" w:hAnsi="Book Antiqua"/>
            <w:i/>
            <w:sz w:val="20"/>
            <w:szCs w:val="20"/>
          </w:rPr>
          <w:t xml:space="preserve"> </w:t>
        </w:r>
        <w:r w:rsidRPr="00DD5C2A">
          <w:rPr>
            <w:rFonts w:ascii="Book Antiqua" w:hAnsi="Book Antiqua"/>
            <w:i/>
            <w:sz w:val="20"/>
            <w:szCs w:val="20"/>
          </w:rPr>
          <w:t>:</w:t>
        </w:r>
        <w:proofErr w:type="gramEnd"/>
        <w:r w:rsidRPr="00DD5C2A">
          <w:rPr>
            <w:rFonts w:ascii="Book Antiqua" w:hAnsi="Book Antiqua"/>
            <w:i/>
            <w:sz w:val="20"/>
            <w:szCs w:val="20"/>
          </w:rPr>
          <w:t xml:space="preserve"> Jurnal Ilmu </w:t>
        </w:r>
        <w:r>
          <w:rPr>
            <w:rFonts w:ascii="Book Antiqua" w:hAnsi="Book Antiqua"/>
            <w:i/>
            <w:sz w:val="20"/>
            <w:szCs w:val="20"/>
          </w:rPr>
          <w:t xml:space="preserve">Manajemen dan Akutansi </w:t>
        </w:r>
      </w:p>
    </w:sdtContent>
  </w:sdt>
  <w:p w14:paraId="23437BE4" w14:textId="77777777" w:rsidR="007B12F1" w:rsidRDefault="007B1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283712"/>
      <w:docPartObj>
        <w:docPartGallery w:val="Page Numbers (Top of Page)"/>
        <w:docPartUnique/>
      </w:docPartObj>
    </w:sdtPr>
    <w:sdtEndPr>
      <w:rPr>
        <w:rFonts w:ascii="Times New Roman" w:hAnsi="Times New Roman"/>
        <w:noProof/>
      </w:rPr>
    </w:sdtEndPr>
    <w:sdtContent>
      <w:p w14:paraId="328F0C53" w14:textId="1A9A16DF" w:rsidR="007B12F1" w:rsidRPr="001003AE" w:rsidRDefault="007B12F1" w:rsidP="007B12F1">
        <w:pPr>
          <w:pStyle w:val="Header"/>
          <w:jc w:val="right"/>
          <w:rPr>
            <w:rFonts w:ascii="Times New Roman" w:hAnsi="Times New Roman" w:cs="Times New Roman"/>
            <w:noProof/>
          </w:rPr>
        </w:pPr>
      </w:p>
      <w:p w14:paraId="34D88C11" w14:textId="05ED0822" w:rsidR="007B12F1" w:rsidRPr="0006342C" w:rsidRDefault="007B12F1" w:rsidP="007B12F1">
        <w:pPr>
          <w:pStyle w:val="Header"/>
          <w:spacing w:after="240"/>
          <w:rPr>
            <w:rFonts w:ascii="Times New Roman" w:hAnsi="Times New Roman"/>
          </w:rPr>
        </w:pPr>
        <w:proofErr w:type="gramStart"/>
        <w:r>
          <w:rPr>
            <w:rFonts w:ascii="Book Antiqua" w:hAnsi="Book Antiqua"/>
            <w:i/>
            <w:sz w:val="20"/>
            <w:szCs w:val="20"/>
          </w:rPr>
          <w:t>Referens</w:t>
        </w:r>
        <w:r w:rsidRPr="00DD5C2A">
          <w:rPr>
            <w:rFonts w:ascii="Book Antiqua" w:hAnsi="Book Antiqua"/>
            <w:i/>
            <w:sz w:val="20"/>
            <w:szCs w:val="20"/>
          </w:rPr>
          <w:t>i</w:t>
        </w:r>
        <w:r>
          <w:rPr>
            <w:rFonts w:ascii="Book Antiqua" w:hAnsi="Book Antiqua"/>
            <w:i/>
            <w:sz w:val="20"/>
            <w:szCs w:val="20"/>
          </w:rPr>
          <w:t xml:space="preserve"> </w:t>
        </w:r>
        <w:r w:rsidRPr="00DD5C2A">
          <w:rPr>
            <w:rFonts w:ascii="Book Antiqua" w:hAnsi="Book Antiqua"/>
            <w:i/>
            <w:sz w:val="20"/>
            <w:szCs w:val="20"/>
          </w:rPr>
          <w:t>:</w:t>
        </w:r>
        <w:proofErr w:type="gramEnd"/>
        <w:r w:rsidRPr="00DD5C2A">
          <w:rPr>
            <w:rFonts w:ascii="Book Antiqua" w:hAnsi="Book Antiqua"/>
            <w:i/>
            <w:sz w:val="20"/>
            <w:szCs w:val="20"/>
          </w:rPr>
          <w:t xml:space="preserve"> Jurnal </w:t>
        </w:r>
        <w:r>
          <w:rPr>
            <w:rFonts w:ascii="Book Antiqua" w:hAnsi="Book Antiqua"/>
            <w:i/>
            <w:sz w:val="20"/>
            <w:szCs w:val="20"/>
          </w:rPr>
          <w:t xml:space="preserve">Ilmu Manajemen dan Akutansi </w:t>
        </w:r>
      </w:p>
    </w:sdtContent>
  </w:sdt>
  <w:p w14:paraId="0592CB74" w14:textId="20A86BD7" w:rsidR="00FF662D" w:rsidRPr="00B36BBA" w:rsidRDefault="00FF662D" w:rsidP="0002455D">
    <w:pPr>
      <w:pStyle w:val="Header"/>
      <w:jc w:val="right"/>
      <w:rPr>
        <w:rFonts w:ascii="Book Antiqua" w:hAnsi="Book Antiqua"/>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69A8" w14:textId="55303C1E" w:rsidR="00FF662D" w:rsidRPr="0006342C" w:rsidRDefault="00FF662D" w:rsidP="00FF662D">
    <w:pPr>
      <w:pStyle w:val="Header"/>
      <w:jc w:val="right"/>
      <w:rPr>
        <w:rFonts w:ascii="Times New Roman" w:hAnsi="Times New Roman"/>
        <w:szCs w:val="20"/>
      </w:rPr>
    </w:pPr>
  </w:p>
  <w:p w14:paraId="53B44066" w14:textId="4F98A890" w:rsidR="00FF662D" w:rsidRPr="00DD5C2A" w:rsidRDefault="00FF662D" w:rsidP="00FF662D">
    <w:pPr>
      <w:pStyle w:val="Header"/>
      <w:rPr>
        <w:rFonts w:ascii="Book Antiqua" w:hAnsi="Book Antiqua"/>
        <w:sz w:val="20"/>
        <w:szCs w:val="20"/>
      </w:rPr>
    </w:pPr>
    <w:proofErr w:type="gramStart"/>
    <w:r>
      <w:rPr>
        <w:rFonts w:ascii="Book Antiqua" w:hAnsi="Book Antiqua"/>
        <w:i/>
        <w:sz w:val="20"/>
        <w:szCs w:val="20"/>
      </w:rPr>
      <w:t>Referen</w:t>
    </w:r>
    <w:r w:rsidRPr="00DD5C2A">
      <w:rPr>
        <w:rFonts w:ascii="Book Antiqua" w:hAnsi="Book Antiqua"/>
        <w:i/>
        <w:sz w:val="20"/>
        <w:szCs w:val="20"/>
      </w:rPr>
      <w:t>si</w:t>
    </w:r>
    <w:r>
      <w:rPr>
        <w:rFonts w:ascii="Book Antiqua" w:hAnsi="Book Antiqua"/>
        <w:i/>
        <w:sz w:val="20"/>
        <w:szCs w:val="20"/>
      </w:rPr>
      <w:t xml:space="preserve"> </w:t>
    </w:r>
    <w:r w:rsidRPr="00DD5C2A">
      <w:rPr>
        <w:rFonts w:ascii="Book Antiqua" w:hAnsi="Book Antiqua"/>
        <w:i/>
        <w:sz w:val="20"/>
        <w:szCs w:val="20"/>
      </w:rPr>
      <w:t>:</w:t>
    </w:r>
    <w:proofErr w:type="gramEnd"/>
    <w:r w:rsidRPr="00DD5C2A">
      <w:rPr>
        <w:rFonts w:ascii="Book Antiqua" w:hAnsi="Book Antiqua"/>
        <w:i/>
        <w:sz w:val="20"/>
        <w:szCs w:val="20"/>
      </w:rPr>
      <w:t xml:space="preserve"> Jurnal Ilmu </w:t>
    </w:r>
    <w:r>
      <w:rPr>
        <w:rFonts w:ascii="Book Antiqua" w:hAnsi="Book Antiqua"/>
        <w:i/>
        <w:sz w:val="20"/>
        <w:szCs w:val="20"/>
      </w:rPr>
      <w:t xml:space="preserve">Manajemen dan Akutansi </w:t>
    </w:r>
  </w:p>
  <w:p w14:paraId="45177840" w14:textId="77777777" w:rsidR="00FF662D" w:rsidRPr="008A6829" w:rsidRDefault="00FF662D" w:rsidP="00FF662D">
    <w:pPr>
      <w:pStyle w:val="Header"/>
      <w:rPr>
        <w:rFonts w:ascii="Book Antiqua" w:hAnsi="Book Antiqua"/>
        <w:sz w:val="20"/>
        <w:szCs w:val="20"/>
      </w:rPr>
    </w:pPr>
    <w:r w:rsidRPr="00DD5C2A">
      <w:rPr>
        <w:rFonts w:ascii="Book Antiqua" w:hAnsi="Book Antiqua"/>
        <w:sz w:val="20"/>
        <w:szCs w:val="20"/>
      </w:rPr>
      <w:t xml:space="preserve">Tersedia online di </w:t>
    </w:r>
    <w:hyperlink r:id="rId1" w:history="1">
      <w:r w:rsidRPr="00FF662D">
        <w:rPr>
          <w:rStyle w:val="Hyperlink"/>
          <w:rFonts w:ascii="Book Antiqua" w:hAnsi="Book Antiqua"/>
          <w:sz w:val="20"/>
        </w:rPr>
        <w:t>https://jurnal.unitri.ac.id/index.php/refrensi/index</w:t>
      </w:r>
    </w:hyperlink>
  </w:p>
  <w:p w14:paraId="306CF802" w14:textId="77777777" w:rsidR="00FF662D" w:rsidRPr="008723A1" w:rsidRDefault="00FF662D" w:rsidP="00FF662D">
    <w:pPr>
      <w:pStyle w:val="Header"/>
      <w:rPr>
        <w:rFonts w:ascii="Book Antiqua" w:hAnsi="Book Antiqua"/>
        <w:i/>
        <w:sz w:val="20"/>
        <w:szCs w:val="20"/>
      </w:rPr>
    </w:pPr>
    <w:r>
      <w:rPr>
        <w:rFonts w:ascii="Book Antiqua" w:hAnsi="Book Antiqua"/>
        <w:sz w:val="20"/>
        <w:szCs w:val="20"/>
      </w:rPr>
      <w:t>ISSN 2548-6152</w:t>
    </w:r>
    <w:r w:rsidRPr="008723A1">
      <w:rPr>
        <w:rFonts w:ascii="Book Antiqua" w:hAnsi="Book Antiqua"/>
        <w:i/>
        <w:sz w:val="20"/>
        <w:szCs w:val="20"/>
      </w:rPr>
      <w:t xml:space="preserve"> (online)</w:t>
    </w:r>
  </w:p>
  <w:p w14:paraId="5F732683" w14:textId="77777777" w:rsidR="00FF662D" w:rsidRPr="00B36BBA" w:rsidRDefault="00FF662D" w:rsidP="00FF662D">
    <w:pPr>
      <w:pStyle w:val="Header"/>
      <w:rPr>
        <w:rFonts w:ascii="Book Antiqua" w:hAnsi="Book Antiqua"/>
        <w:i/>
        <w:sz w:val="20"/>
        <w:szCs w:val="20"/>
      </w:rPr>
    </w:pPr>
    <w:r>
      <w:rPr>
        <w:rFonts w:ascii="Book Antiqua" w:hAnsi="Book Antiqua"/>
        <w:sz w:val="20"/>
        <w:szCs w:val="20"/>
      </w:rPr>
      <w:t>ISSN 2089-0532</w:t>
    </w:r>
    <w:r w:rsidRPr="008723A1">
      <w:rPr>
        <w:rFonts w:ascii="Book Antiqua" w:hAnsi="Book Antiqua"/>
        <w:i/>
        <w:sz w:val="20"/>
        <w:szCs w:val="20"/>
      </w:rPr>
      <w:t xml:space="preserve"> </w:t>
    </w:r>
    <w:r w:rsidRPr="008723A1">
      <w:rPr>
        <w:rFonts w:ascii="Book Antiqua" w:hAnsi="Book Antiqua"/>
        <w:sz w:val="20"/>
        <w:szCs w:val="20"/>
      </w:rPr>
      <w:t>(cetak)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10052"/>
    <w:multiLevelType w:val="hybridMultilevel"/>
    <w:tmpl w:val="45844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815AD8"/>
    <w:multiLevelType w:val="hybridMultilevel"/>
    <w:tmpl w:val="B05E76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AE8653B"/>
    <w:multiLevelType w:val="hybridMultilevel"/>
    <w:tmpl w:val="ED36BA54"/>
    <w:lvl w:ilvl="0" w:tplc="DEB8CF34">
      <w:start w:val="1"/>
      <w:numFmt w:val="decimal"/>
      <w:lvlText w:val="%1."/>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F612C75"/>
    <w:multiLevelType w:val="hybridMultilevel"/>
    <w:tmpl w:val="13784644"/>
    <w:lvl w:ilvl="0" w:tplc="006EE3FC">
      <w:start w:val="1"/>
      <w:numFmt w:val="decimal"/>
      <w:lvlText w:val="%1."/>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C2F7582"/>
    <w:multiLevelType w:val="hybridMultilevel"/>
    <w:tmpl w:val="F6D63B9A"/>
    <w:lvl w:ilvl="0" w:tplc="6C964C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BB"/>
    <w:rsid w:val="0002455D"/>
    <w:rsid w:val="00030C2E"/>
    <w:rsid w:val="000320D3"/>
    <w:rsid w:val="00046B5C"/>
    <w:rsid w:val="0007040A"/>
    <w:rsid w:val="000B5E8D"/>
    <w:rsid w:val="000C0C13"/>
    <w:rsid w:val="000F051A"/>
    <w:rsid w:val="000F4AC2"/>
    <w:rsid w:val="000F4DEB"/>
    <w:rsid w:val="001003AE"/>
    <w:rsid w:val="001265A8"/>
    <w:rsid w:val="00135106"/>
    <w:rsid w:val="00143CFB"/>
    <w:rsid w:val="00166CF8"/>
    <w:rsid w:val="00175104"/>
    <w:rsid w:val="001E2C91"/>
    <w:rsid w:val="001F0A68"/>
    <w:rsid w:val="00206E91"/>
    <w:rsid w:val="00217FB4"/>
    <w:rsid w:val="00220F4A"/>
    <w:rsid w:val="00245678"/>
    <w:rsid w:val="00283C48"/>
    <w:rsid w:val="002E59DF"/>
    <w:rsid w:val="00335346"/>
    <w:rsid w:val="00335516"/>
    <w:rsid w:val="00344E4D"/>
    <w:rsid w:val="003B69E5"/>
    <w:rsid w:val="003C3544"/>
    <w:rsid w:val="003E1C78"/>
    <w:rsid w:val="003E6642"/>
    <w:rsid w:val="003E7163"/>
    <w:rsid w:val="004176FC"/>
    <w:rsid w:val="00434F2F"/>
    <w:rsid w:val="00456325"/>
    <w:rsid w:val="00474245"/>
    <w:rsid w:val="0048477A"/>
    <w:rsid w:val="004C68FA"/>
    <w:rsid w:val="004D4823"/>
    <w:rsid w:val="005018CE"/>
    <w:rsid w:val="0052165F"/>
    <w:rsid w:val="005221FD"/>
    <w:rsid w:val="00536443"/>
    <w:rsid w:val="00551383"/>
    <w:rsid w:val="00595E9E"/>
    <w:rsid w:val="005B4B19"/>
    <w:rsid w:val="005C3E2E"/>
    <w:rsid w:val="00612CA5"/>
    <w:rsid w:val="0062002D"/>
    <w:rsid w:val="00653A67"/>
    <w:rsid w:val="00671D5D"/>
    <w:rsid w:val="0069743F"/>
    <w:rsid w:val="006A2907"/>
    <w:rsid w:val="006B7CB5"/>
    <w:rsid w:val="006C28B3"/>
    <w:rsid w:val="006C6650"/>
    <w:rsid w:val="006D6E83"/>
    <w:rsid w:val="006E555D"/>
    <w:rsid w:val="006E7C15"/>
    <w:rsid w:val="006F0B8B"/>
    <w:rsid w:val="006F65A5"/>
    <w:rsid w:val="00764B63"/>
    <w:rsid w:val="00784BA5"/>
    <w:rsid w:val="007B08E4"/>
    <w:rsid w:val="007B12F1"/>
    <w:rsid w:val="007B4B44"/>
    <w:rsid w:val="007E6381"/>
    <w:rsid w:val="00807D8F"/>
    <w:rsid w:val="00832226"/>
    <w:rsid w:val="00845B5F"/>
    <w:rsid w:val="00863757"/>
    <w:rsid w:val="0087572E"/>
    <w:rsid w:val="008C0FEB"/>
    <w:rsid w:val="008F0C26"/>
    <w:rsid w:val="008F5A9F"/>
    <w:rsid w:val="00946698"/>
    <w:rsid w:val="00963E67"/>
    <w:rsid w:val="009B33EB"/>
    <w:rsid w:val="009C4CE5"/>
    <w:rsid w:val="009E5B08"/>
    <w:rsid w:val="00A03EBD"/>
    <w:rsid w:val="00A1201A"/>
    <w:rsid w:val="00A52618"/>
    <w:rsid w:val="00A76E61"/>
    <w:rsid w:val="00AB0986"/>
    <w:rsid w:val="00AB1007"/>
    <w:rsid w:val="00AD1852"/>
    <w:rsid w:val="00AD3F95"/>
    <w:rsid w:val="00AD7FCF"/>
    <w:rsid w:val="00B10A75"/>
    <w:rsid w:val="00B53F2E"/>
    <w:rsid w:val="00B72DCC"/>
    <w:rsid w:val="00B86644"/>
    <w:rsid w:val="00BB0134"/>
    <w:rsid w:val="00BC78AF"/>
    <w:rsid w:val="00BD76E0"/>
    <w:rsid w:val="00BF0E7D"/>
    <w:rsid w:val="00BF4BFC"/>
    <w:rsid w:val="00C07C0F"/>
    <w:rsid w:val="00C13ED8"/>
    <w:rsid w:val="00C7435E"/>
    <w:rsid w:val="00C911FC"/>
    <w:rsid w:val="00C9750B"/>
    <w:rsid w:val="00CB0140"/>
    <w:rsid w:val="00CC1CBB"/>
    <w:rsid w:val="00D41FA9"/>
    <w:rsid w:val="00D913F9"/>
    <w:rsid w:val="00DB486B"/>
    <w:rsid w:val="00DC7973"/>
    <w:rsid w:val="00DD0B0A"/>
    <w:rsid w:val="00E46FC5"/>
    <w:rsid w:val="00E97E81"/>
    <w:rsid w:val="00EB1271"/>
    <w:rsid w:val="00F03B40"/>
    <w:rsid w:val="00F103CF"/>
    <w:rsid w:val="00F14BED"/>
    <w:rsid w:val="00F2216C"/>
    <w:rsid w:val="00F24FA1"/>
    <w:rsid w:val="00F472E4"/>
    <w:rsid w:val="00F66C97"/>
    <w:rsid w:val="00FC155A"/>
    <w:rsid w:val="00FD2274"/>
    <w:rsid w:val="00FF620A"/>
    <w:rsid w:val="00FF66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D2526"/>
  <w15:docId w15:val="{B380F1CA-8CFA-491A-9FFC-8ABD7180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CB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1CBB"/>
    <w:pPr>
      <w:spacing w:after="0" w:line="240" w:lineRule="auto"/>
    </w:pPr>
    <w:rPr>
      <w:rFonts w:eastAsiaTheme="minorEastAsia"/>
    </w:rPr>
  </w:style>
  <w:style w:type="table" w:styleId="TableGrid">
    <w:name w:val="Table Grid"/>
    <w:basedOn w:val="TableNormal"/>
    <w:uiPriority w:val="59"/>
    <w:rsid w:val="00CC1CB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C1CB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C1CBB"/>
    <w:rPr>
      <w:sz w:val="16"/>
      <w:szCs w:val="16"/>
    </w:rPr>
  </w:style>
  <w:style w:type="paragraph" w:styleId="CommentText">
    <w:name w:val="annotation text"/>
    <w:basedOn w:val="Normal"/>
    <w:link w:val="CommentTextChar"/>
    <w:uiPriority w:val="99"/>
    <w:semiHidden/>
    <w:unhideWhenUsed/>
    <w:rsid w:val="00CC1CBB"/>
    <w:pPr>
      <w:spacing w:line="240" w:lineRule="auto"/>
    </w:pPr>
    <w:rPr>
      <w:sz w:val="20"/>
      <w:szCs w:val="20"/>
    </w:rPr>
  </w:style>
  <w:style w:type="character" w:customStyle="1" w:styleId="CommentTextChar">
    <w:name w:val="Comment Text Char"/>
    <w:basedOn w:val="DefaultParagraphFont"/>
    <w:link w:val="CommentText"/>
    <w:uiPriority w:val="99"/>
    <w:semiHidden/>
    <w:rsid w:val="00CC1CBB"/>
    <w:rPr>
      <w:rFonts w:eastAsiaTheme="minorEastAsia"/>
      <w:sz w:val="20"/>
      <w:szCs w:val="20"/>
    </w:rPr>
  </w:style>
  <w:style w:type="paragraph" w:styleId="BalloonText">
    <w:name w:val="Balloon Text"/>
    <w:basedOn w:val="Normal"/>
    <w:link w:val="BalloonTextChar"/>
    <w:uiPriority w:val="99"/>
    <w:semiHidden/>
    <w:unhideWhenUsed/>
    <w:rsid w:val="00CC1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B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B0134"/>
    <w:rPr>
      <w:b/>
      <w:bCs/>
    </w:rPr>
  </w:style>
  <w:style w:type="character" w:customStyle="1" w:styleId="CommentSubjectChar">
    <w:name w:val="Comment Subject Char"/>
    <w:basedOn w:val="CommentTextChar"/>
    <w:link w:val="CommentSubject"/>
    <w:uiPriority w:val="99"/>
    <w:semiHidden/>
    <w:rsid w:val="00BB0134"/>
    <w:rPr>
      <w:rFonts w:eastAsiaTheme="minorEastAsia"/>
      <w:b/>
      <w:bCs/>
      <w:sz w:val="20"/>
      <w:szCs w:val="20"/>
    </w:rPr>
  </w:style>
  <w:style w:type="paragraph" w:styleId="Header">
    <w:name w:val="header"/>
    <w:basedOn w:val="Normal"/>
    <w:link w:val="HeaderChar"/>
    <w:uiPriority w:val="99"/>
    <w:unhideWhenUsed/>
    <w:rsid w:val="004D4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23"/>
    <w:rPr>
      <w:rFonts w:eastAsiaTheme="minorEastAsia"/>
    </w:rPr>
  </w:style>
  <w:style w:type="paragraph" w:styleId="Footer">
    <w:name w:val="footer"/>
    <w:basedOn w:val="Normal"/>
    <w:link w:val="FooterChar"/>
    <w:uiPriority w:val="99"/>
    <w:unhideWhenUsed/>
    <w:rsid w:val="004D4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23"/>
    <w:rPr>
      <w:rFonts w:eastAsiaTheme="minorEastAsia"/>
    </w:rPr>
  </w:style>
  <w:style w:type="character" w:styleId="Hyperlink">
    <w:name w:val="Hyperlink"/>
    <w:basedOn w:val="DefaultParagraphFont"/>
    <w:uiPriority w:val="99"/>
    <w:unhideWhenUsed/>
    <w:rsid w:val="00612CA5"/>
    <w:rPr>
      <w:color w:val="0563C1" w:themeColor="hyperlink"/>
      <w:u w:val="single"/>
    </w:rPr>
  </w:style>
  <w:style w:type="character" w:customStyle="1" w:styleId="UnresolvedMention">
    <w:name w:val="Unresolved Mention"/>
    <w:basedOn w:val="DefaultParagraphFont"/>
    <w:uiPriority w:val="99"/>
    <w:semiHidden/>
    <w:unhideWhenUsed/>
    <w:rsid w:val="00612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19260">
      <w:bodyDiv w:val="1"/>
      <w:marLeft w:val="0"/>
      <w:marRight w:val="0"/>
      <w:marTop w:val="0"/>
      <w:marBottom w:val="0"/>
      <w:divBdr>
        <w:top w:val="none" w:sz="0" w:space="0" w:color="auto"/>
        <w:left w:val="none" w:sz="0" w:space="0" w:color="auto"/>
        <w:bottom w:val="none" w:sz="0" w:space="0" w:color="auto"/>
        <w:right w:val="none" w:sz="0" w:space="0" w:color="auto"/>
      </w:divBdr>
    </w:div>
    <w:div w:id="1132551351">
      <w:bodyDiv w:val="1"/>
      <w:marLeft w:val="0"/>
      <w:marRight w:val="0"/>
      <w:marTop w:val="0"/>
      <w:marBottom w:val="0"/>
      <w:divBdr>
        <w:top w:val="none" w:sz="0" w:space="0" w:color="auto"/>
        <w:left w:val="none" w:sz="0" w:space="0" w:color="auto"/>
        <w:bottom w:val="none" w:sz="0" w:space="0" w:color="auto"/>
        <w:right w:val="none" w:sz="0" w:space="0" w:color="auto"/>
      </w:divBdr>
    </w:div>
    <w:div w:id="1408571158">
      <w:bodyDiv w:val="1"/>
      <w:marLeft w:val="0"/>
      <w:marRight w:val="0"/>
      <w:marTop w:val="0"/>
      <w:marBottom w:val="0"/>
      <w:divBdr>
        <w:top w:val="none" w:sz="0" w:space="0" w:color="auto"/>
        <w:left w:val="none" w:sz="0" w:space="0" w:color="auto"/>
        <w:bottom w:val="none" w:sz="0" w:space="0" w:color="auto"/>
        <w:right w:val="none" w:sz="0" w:space="0" w:color="auto"/>
      </w:divBdr>
    </w:div>
    <w:div w:id="1497498510">
      <w:bodyDiv w:val="1"/>
      <w:marLeft w:val="0"/>
      <w:marRight w:val="0"/>
      <w:marTop w:val="0"/>
      <w:marBottom w:val="0"/>
      <w:divBdr>
        <w:top w:val="none" w:sz="0" w:space="0" w:color="auto"/>
        <w:left w:val="none" w:sz="0" w:space="0" w:color="auto"/>
        <w:bottom w:val="none" w:sz="0" w:space="0" w:color="auto"/>
        <w:right w:val="none" w:sz="0" w:space="0" w:color="auto"/>
      </w:divBdr>
    </w:div>
    <w:div w:id="20683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jurnal.unitri.ac.id/index.php/refrens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7730-9447-4042-A9F3-474607E1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2021-12-02T03:50:00Z</dcterms:created>
  <dcterms:modified xsi:type="dcterms:W3CDTF">2021-12-02T03:50:00Z</dcterms:modified>
</cp:coreProperties>
</file>