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C268F" w14:textId="01C74379" w:rsidR="00CC1CBB" w:rsidRPr="000C0C13" w:rsidRDefault="000C0C13" w:rsidP="00FF662D">
      <w:pPr>
        <w:pStyle w:val="NoSpacing"/>
        <w:spacing w:before="600" w:after="360"/>
        <w:jc w:val="center"/>
        <w:rPr>
          <w:rFonts w:ascii="Times New Roman" w:hAnsi="Times New Roman" w:cs="Times New Roman"/>
          <w:b/>
          <w:sz w:val="28"/>
          <w:szCs w:val="24"/>
          <w:lang w:val="id-ID"/>
        </w:rPr>
      </w:pPr>
      <w:r>
        <w:rPr>
          <w:rFonts w:ascii="Times New Roman" w:hAnsi="Times New Roman" w:cs="Times New Roman"/>
          <w:b/>
          <w:sz w:val="28"/>
          <w:szCs w:val="24"/>
          <w:lang w:val="id-ID"/>
        </w:rPr>
        <w:t>FAKTOR-FAKTOR PENENTU DALAM PENGAMBILAN KEBIJAKAN PEMBAYARAN DIVIDEN PADA BANK KONVENSIONAL YANG TERDAFTAR DI BURSA EFEK INDONESIA</w:t>
      </w:r>
    </w:p>
    <w:p w14:paraId="7CE03076" w14:textId="17E14A5B" w:rsidR="00CC1CBB" w:rsidRDefault="008F0C26" w:rsidP="00CC1CBB">
      <w:pPr>
        <w:pStyle w:val="NoSpacing"/>
        <w:jc w:val="center"/>
        <w:rPr>
          <w:rFonts w:ascii="Times New Roman" w:hAnsi="Times New Roman" w:cs="Times New Roman"/>
          <w:b/>
          <w:sz w:val="24"/>
          <w:szCs w:val="24"/>
        </w:rPr>
      </w:pPr>
      <w:r w:rsidRPr="008F0C26">
        <w:rPr>
          <w:rFonts w:ascii="Times New Roman" w:hAnsi="Times New Roman" w:cs="Times New Roman"/>
          <w:b/>
          <w:sz w:val="24"/>
          <w:szCs w:val="24"/>
          <w:vertAlign w:val="superscript"/>
        </w:rPr>
        <w:t>1</w:t>
      </w:r>
      <w:r w:rsidR="000C0C13">
        <w:rPr>
          <w:rFonts w:ascii="Times New Roman" w:hAnsi="Times New Roman" w:cs="Times New Roman"/>
          <w:b/>
          <w:sz w:val="24"/>
          <w:szCs w:val="24"/>
          <w:lang w:val="id-ID"/>
        </w:rPr>
        <w:t>Dirhamsyah</w:t>
      </w:r>
      <w:r>
        <w:rPr>
          <w:rFonts w:ascii="Times New Roman" w:hAnsi="Times New Roman" w:cs="Times New Roman"/>
          <w:b/>
          <w:sz w:val="24"/>
          <w:szCs w:val="24"/>
        </w:rPr>
        <w:t xml:space="preserve">, </w:t>
      </w:r>
      <w:r w:rsidRPr="008F0C26">
        <w:rPr>
          <w:rFonts w:ascii="Times New Roman" w:hAnsi="Times New Roman" w:cs="Times New Roman"/>
          <w:b/>
          <w:sz w:val="24"/>
          <w:szCs w:val="24"/>
          <w:vertAlign w:val="superscript"/>
        </w:rPr>
        <w:t>2</w:t>
      </w:r>
      <w:r w:rsidR="000C0C13">
        <w:rPr>
          <w:rFonts w:ascii="Times New Roman" w:hAnsi="Times New Roman" w:cs="Times New Roman"/>
          <w:b/>
          <w:sz w:val="24"/>
          <w:szCs w:val="24"/>
          <w:lang w:val="id-ID"/>
        </w:rPr>
        <w:t xml:space="preserve">Lulu Qisthina Putri, </w:t>
      </w:r>
      <w:r w:rsidR="000C0C13">
        <w:rPr>
          <w:rFonts w:ascii="Times New Roman" w:hAnsi="Times New Roman" w:cs="Times New Roman"/>
          <w:b/>
          <w:sz w:val="24"/>
          <w:szCs w:val="24"/>
          <w:vertAlign w:val="superscript"/>
        </w:rPr>
        <w:t>3</w:t>
      </w:r>
      <w:r w:rsidR="000C0C13">
        <w:rPr>
          <w:rFonts w:ascii="Times New Roman" w:hAnsi="Times New Roman" w:cs="Times New Roman"/>
          <w:b/>
          <w:sz w:val="24"/>
          <w:szCs w:val="24"/>
          <w:lang w:val="id-ID"/>
        </w:rPr>
        <w:t>Farah Margaretha Leon</w:t>
      </w:r>
    </w:p>
    <w:p w14:paraId="3FB00A17" w14:textId="484409B6" w:rsidR="00CC1CBB" w:rsidRPr="000C0C13" w:rsidRDefault="00FF662D" w:rsidP="00CC1CBB">
      <w:pPr>
        <w:pStyle w:val="NoSpacing"/>
        <w:jc w:val="center"/>
        <w:rPr>
          <w:rFonts w:ascii="Times New Roman" w:hAnsi="Times New Roman" w:cs="Times New Roman"/>
          <w:szCs w:val="24"/>
          <w:lang w:val="id-ID"/>
        </w:rPr>
      </w:pPr>
      <w:r>
        <w:rPr>
          <w:rFonts w:ascii="Times New Roman" w:hAnsi="Times New Roman" w:cs="Times New Roman"/>
          <w:szCs w:val="24"/>
        </w:rPr>
        <w:t>Prodi</w:t>
      </w:r>
      <w:r w:rsidR="00CC1CBB" w:rsidRPr="00946698">
        <w:rPr>
          <w:rFonts w:ascii="Times New Roman" w:hAnsi="Times New Roman" w:cs="Times New Roman"/>
          <w:szCs w:val="24"/>
        </w:rPr>
        <w:t xml:space="preserve"> </w:t>
      </w:r>
      <w:r w:rsidR="000C0C13">
        <w:rPr>
          <w:rFonts w:ascii="Times New Roman" w:hAnsi="Times New Roman" w:cs="Times New Roman"/>
          <w:szCs w:val="24"/>
          <w:lang w:val="id-ID"/>
        </w:rPr>
        <w:t>Manajemen, Universitas Trisakti</w:t>
      </w:r>
    </w:p>
    <w:p w14:paraId="5F7FEB7F" w14:textId="7DEDB9BC" w:rsidR="00CC1CBB" w:rsidRPr="00946698" w:rsidRDefault="00FF662D" w:rsidP="00946698">
      <w:pPr>
        <w:pStyle w:val="NoSpacing"/>
        <w:spacing w:after="480"/>
        <w:jc w:val="center"/>
        <w:rPr>
          <w:rFonts w:ascii="Times New Roman" w:hAnsi="Times New Roman" w:cs="Times New Roman"/>
          <w:i/>
          <w:szCs w:val="24"/>
        </w:rPr>
      </w:pPr>
      <w:r>
        <w:rPr>
          <w:rFonts w:ascii="Times New Roman" w:hAnsi="Times New Roman" w:cs="Times New Roman"/>
          <w:i/>
          <w:szCs w:val="24"/>
        </w:rPr>
        <w:t>E</w:t>
      </w:r>
      <w:r w:rsidR="00CC1CBB" w:rsidRPr="00946698">
        <w:rPr>
          <w:rFonts w:ascii="Times New Roman" w:hAnsi="Times New Roman" w:cs="Times New Roman"/>
          <w:i/>
          <w:szCs w:val="24"/>
        </w:rPr>
        <w:t xml:space="preserve">-mail: </w:t>
      </w:r>
      <w:r w:rsidR="000C0C13">
        <w:rPr>
          <w:rStyle w:val="Hyperlink"/>
          <w:rFonts w:ascii="Times New Roman" w:hAnsi="Times New Roman" w:cs="Times New Roman"/>
          <w:szCs w:val="24"/>
          <w:lang w:val="id-ID"/>
        </w:rPr>
        <w:t>dirhamsyah1999@gmail.com</w:t>
      </w:r>
    </w:p>
    <w:p w14:paraId="497A4A7E" w14:textId="262CAE2E" w:rsidR="00CC1CBB" w:rsidRPr="008F0C26" w:rsidRDefault="00CC1CBB" w:rsidP="00CC1CBB">
      <w:pPr>
        <w:pStyle w:val="NoSpacing"/>
        <w:spacing w:line="360" w:lineRule="auto"/>
        <w:jc w:val="center"/>
        <w:rPr>
          <w:rFonts w:ascii="Times New Roman" w:hAnsi="Times New Roman" w:cs="Times New Roman"/>
          <w:b/>
          <w:i/>
          <w:szCs w:val="24"/>
        </w:rPr>
      </w:pPr>
      <w:r w:rsidRPr="00FF662D">
        <w:rPr>
          <w:rFonts w:ascii="Times New Roman" w:hAnsi="Times New Roman" w:cs="Times New Roman"/>
          <w:b/>
          <w:i/>
          <w:szCs w:val="24"/>
        </w:rPr>
        <w:t>ABSTRACT</w:t>
      </w:r>
      <w:r w:rsidR="008F0C26">
        <w:rPr>
          <w:rFonts w:ascii="Times New Roman" w:hAnsi="Times New Roman" w:cs="Times New Roman"/>
          <w:b/>
          <w:i/>
          <w:szCs w:val="24"/>
        </w:rPr>
        <w:t xml:space="preserve"> </w:t>
      </w:r>
    </w:p>
    <w:p w14:paraId="5B59F980" w14:textId="775F180F" w:rsidR="00F472E4" w:rsidRPr="00F103CF" w:rsidRDefault="00F103CF" w:rsidP="00FF662D">
      <w:pPr>
        <w:pStyle w:val="NoSpacing"/>
        <w:spacing w:after="120"/>
        <w:jc w:val="both"/>
        <w:rPr>
          <w:rFonts w:ascii="Times New Roman" w:hAnsi="Times New Roman" w:cs="Times New Roman"/>
          <w:i/>
          <w:lang w:val="id-ID"/>
        </w:rPr>
      </w:pPr>
      <w:r>
        <w:rPr>
          <w:rFonts w:ascii="Times New Roman" w:hAnsi="Times New Roman" w:cs="Times New Roman"/>
          <w:i/>
          <w:lang w:val="id-ID"/>
        </w:rPr>
        <w:t xml:space="preserve">This research was aimed at Conventional Banks listed on the Indonesia Stock Exchange for period 2015-2020. This research was a quantitative research, with selected sample of 17 banks for analysis with </w:t>
      </w:r>
      <w:r w:rsidR="004176FC">
        <w:rPr>
          <w:rFonts w:ascii="Times New Roman" w:hAnsi="Times New Roman" w:cs="Times New Roman"/>
          <w:i/>
          <w:lang w:val="id-ID"/>
        </w:rPr>
        <w:t xml:space="preserve">size, profitability, capital adequacy ratio, growth, liquidity, credit risk, and bank’s age on dividend payout ratio and payment dividend. The research analysis technique in this research was logit and tobit regression analysis. </w:t>
      </w:r>
      <w:r w:rsidR="004176FC" w:rsidRPr="004176FC">
        <w:rPr>
          <w:rFonts w:ascii="Times New Roman" w:hAnsi="Times New Roman" w:cs="Times New Roman"/>
          <w:i/>
          <w:lang w:val="id-ID"/>
        </w:rPr>
        <w:t>. The results of this study indicate that size and profitability have a negative effect on bank dividend payment decisions. Liquidity and age have a positive influence on dividend payment decisions. Meanwhile, capital adequacy, growth and liquidity do not have a significant effect on dividend payment policies.</w:t>
      </w:r>
    </w:p>
    <w:p w14:paraId="5A3EAB47" w14:textId="669CE7E6" w:rsidR="00CC1CBB" w:rsidRPr="00946698" w:rsidRDefault="00CC1CBB" w:rsidP="00946698">
      <w:pPr>
        <w:pStyle w:val="NoSpacing"/>
        <w:spacing w:before="120" w:after="360"/>
        <w:jc w:val="both"/>
        <w:rPr>
          <w:rFonts w:ascii="Times New Roman" w:hAnsi="Times New Roman" w:cs="Times New Roman"/>
          <w:i/>
        </w:rPr>
      </w:pPr>
      <w:r w:rsidRPr="001A666D">
        <w:rPr>
          <w:rFonts w:ascii="Times New Roman" w:hAnsi="Times New Roman" w:cs="Times New Roman"/>
          <w:b/>
          <w:i/>
        </w:rPr>
        <w:t>Keywords</w:t>
      </w:r>
      <w:r w:rsidR="00946698">
        <w:rPr>
          <w:rFonts w:ascii="Times New Roman" w:hAnsi="Times New Roman" w:cs="Times New Roman"/>
          <w:i/>
        </w:rPr>
        <w:t xml:space="preserve">: </w:t>
      </w:r>
      <w:r w:rsidR="009B33EB" w:rsidRPr="009B33EB">
        <w:rPr>
          <w:rFonts w:ascii="Times New Roman" w:hAnsi="Times New Roman" w:cs="Times New Roman"/>
          <w:i/>
        </w:rPr>
        <w:t>Age; bank; capital adequacy; credit risk; dividend payout ratio; growth; liquidity; profitability; size</w:t>
      </w:r>
    </w:p>
    <w:p w14:paraId="313D9A3C" w14:textId="42A5D21D" w:rsidR="00CC1CBB" w:rsidRPr="00595E9E" w:rsidRDefault="00CC1CBB" w:rsidP="00595E9E">
      <w:pPr>
        <w:pStyle w:val="NoSpacing"/>
        <w:spacing w:line="360" w:lineRule="auto"/>
        <w:jc w:val="center"/>
        <w:rPr>
          <w:rFonts w:ascii="Times New Roman" w:hAnsi="Times New Roman" w:cs="Times New Roman"/>
          <w:b/>
          <w:i/>
          <w:szCs w:val="24"/>
        </w:rPr>
      </w:pPr>
      <w:r w:rsidRPr="00FF662D">
        <w:rPr>
          <w:rFonts w:ascii="Times New Roman" w:hAnsi="Times New Roman" w:cs="Times New Roman"/>
          <w:b/>
          <w:i/>
        </w:rPr>
        <w:t>ABSTRAK</w:t>
      </w:r>
    </w:p>
    <w:p w14:paraId="05B7B480" w14:textId="6C9ABE51" w:rsidR="00595E9E" w:rsidRPr="00DD0B0A" w:rsidRDefault="00DD0B0A" w:rsidP="009C4CE5">
      <w:pPr>
        <w:pStyle w:val="NoSpacing"/>
        <w:spacing w:after="120"/>
        <w:jc w:val="both"/>
        <w:rPr>
          <w:rFonts w:ascii="Times New Roman" w:hAnsi="Times New Roman" w:cs="Times New Roman"/>
          <w:lang w:val="id-ID"/>
        </w:rPr>
      </w:pPr>
      <w:r>
        <w:rPr>
          <w:rFonts w:ascii="Times New Roman" w:hAnsi="Times New Roman" w:cs="Times New Roman"/>
          <w:lang w:val="id-ID"/>
        </w:rPr>
        <w:t>Penelitian ini ditujukan pada Bank Konvensional</w:t>
      </w:r>
      <w:r w:rsidR="006E7C15">
        <w:rPr>
          <w:rFonts w:ascii="Times New Roman" w:hAnsi="Times New Roman" w:cs="Times New Roman"/>
          <w:lang w:val="id-ID"/>
        </w:rPr>
        <w:t xml:space="preserve"> yang terdaftar di Bursa Efek Indonesia selama periode 2015-2020. Penelitian ini merupakan penelitian kuantitatif dengan sampel yang dipilih adalah 17 bank untuk dianalisis dengan ukuran, profitabilitas, rasio kecukupan modal, pertumbuhan, likuiditas, risiko kredit, dan umur bank terhadap kebijakan pembayaran dividen dan kecenderungan membayar dividen. Teknik analisis penelitian yang digunakan menggunakan analisis regresi tobit dan logit. Hasil penelitian menunjukkan </w:t>
      </w:r>
      <w:r w:rsidR="00F103CF">
        <w:rPr>
          <w:rFonts w:ascii="Times New Roman" w:hAnsi="Times New Roman" w:cs="Times New Roman"/>
          <w:lang w:val="id-ID"/>
        </w:rPr>
        <w:t xml:space="preserve">ukuran </w:t>
      </w:r>
      <w:r w:rsidR="006E7C15" w:rsidRPr="006E7C15">
        <w:rPr>
          <w:rFonts w:ascii="Times New Roman" w:hAnsi="Times New Roman" w:cs="Times New Roman"/>
          <w:lang w:val="id-ID"/>
        </w:rPr>
        <w:t>dan</w:t>
      </w:r>
      <w:r w:rsidR="00F103CF">
        <w:rPr>
          <w:rFonts w:ascii="Times New Roman" w:hAnsi="Times New Roman" w:cs="Times New Roman"/>
          <w:lang w:val="id-ID"/>
        </w:rPr>
        <w:t xml:space="preserve"> profitabilitas</w:t>
      </w:r>
      <w:r w:rsidR="006E7C15" w:rsidRPr="006E7C15">
        <w:rPr>
          <w:rFonts w:ascii="Times New Roman" w:hAnsi="Times New Roman" w:cs="Times New Roman"/>
          <w:lang w:val="id-ID"/>
        </w:rPr>
        <w:t xml:space="preserve"> memiliki pengaruh negatif terhadap kep</w:t>
      </w:r>
      <w:r w:rsidR="00F103CF">
        <w:rPr>
          <w:rFonts w:ascii="Times New Roman" w:hAnsi="Times New Roman" w:cs="Times New Roman"/>
          <w:lang w:val="id-ID"/>
        </w:rPr>
        <w:t xml:space="preserve">utusan pembayaran dividen bank. Likuiditas </w:t>
      </w:r>
      <w:r w:rsidR="006E7C15" w:rsidRPr="006E7C15">
        <w:rPr>
          <w:rFonts w:ascii="Times New Roman" w:hAnsi="Times New Roman" w:cs="Times New Roman"/>
          <w:lang w:val="id-ID"/>
        </w:rPr>
        <w:t>dan</w:t>
      </w:r>
      <w:r w:rsidR="00F103CF">
        <w:rPr>
          <w:rFonts w:ascii="Times New Roman" w:hAnsi="Times New Roman" w:cs="Times New Roman"/>
          <w:lang w:val="id-ID"/>
        </w:rPr>
        <w:t xml:space="preserve"> umur </w:t>
      </w:r>
      <w:r w:rsidR="006E7C15" w:rsidRPr="006E7C15">
        <w:rPr>
          <w:rFonts w:ascii="Times New Roman" w:hAnsi="Times New Roman" w:cs="Times New Roman"/>
          <w:lang w:val="id-ID"/>
        </w:rPr>
        <w:t>memiliki pengaruh positif terhadap keputusan pembayaran dividen. Sedangkan</w:t>
      </w:r>
      <w:r w:rsidR="00F103CF">
        <w:rPr>
          <w:rFonts w:ascii="Times New Roman" w:hAnsi="Times New Roman" w:cs="Times New Roman"/>
          <w:lang w:val="id-ID"/>
        </w:rPr>
        <w:t xml:space="preserve"> rasio kecukupan modal, pertumbuhan, dan risiko kredit</w:t>
      </w:r>
      <w:r w:rsidR="006E7C15" w:rsidRPr="006E7C15">
        <w:rPr>
          <w:rFonts w:ascii="Times New Roman" w:hAnsi="Times New Roman" w:cs="Times New Roman"/>
          <w:lang w:val="id-ID"/>
        </w:rPr>
        <w:t xml:space="preserve"> tidak memiliki pengaruh signifikan terhadap kebijakan pembayaran dividen</w:t>
      </w:r>
      <w:r w:rsidR="006E7C15">
        <w:rPr>
          <w:rFonts w:ascii="Times New Roman" w:hAnsi="Times New Roman" w:cs="Times New Roman"/>
          <w:lang w:val="id-ID"/>
        </w:rPr>
        <w:t xml:space="preserve"> </w:t>
      </w:r>
    </w:p>
    <w:p w14:paraId="76CAD83C" w14:textId="60209017" w:rsidR="00B72DCC" w:rsidRPr="009B33EB" w:rsidRDefault="00946698" w:rsidP="009C4CE5">
      <w:pPr>
        <w:pStyle w:val="NoSpacing"/>
        <w:spacing w:after="600"/>
        <w:jc w:val="both"/>
        <w:rPr>
          <w:rFonts w:ascii="Times New Roman" w:hAnsi="Times New Roman" w:cs="Times New Roman"/>
          <w:szCs w:val="24"/>
          <w:lang w:val="id-ID"/>
        </w:rPr>
      </w:pPr>
      <w:r w:rsidRPr="00FF662D">
        <w:rPr>
          <w:rFonts w:ascii="Times New Roman" w:hAnsi="Times New Roman" w:cs="Times New Roman"/>
          <w:b/>
          <w:szCs w:val="24"/>
        </w:rPr>
        <w:t>Kata Kunci</w:t>
      </w:r>
      <w:r w:rsidR="00CC1CBB" w:rsidRPr="00FF662D">
        <w:rPr>
          <w:rFonts w:ascii="Times New Roman" w:hAnsi="Times New Roman" w:cs="Times New Roman"/>
          <w:b/>
          <w:szCs w:val="24"/>
        </w:rPr>
        <w:t xml:space="preserve">: </w:t>
      </w:r>
      <w:r w:rsidR="009B33EB">
        <w:rPr>
          <w:rFonts w:ascii="Times New Roman" w:hAnsi="Times New Roman" w:cs="Times New Roman"/>
          <w:szCs w:val="24"/>
          <w:lang w:val="id-ID"/>
        </w:rPr>
        <w:t>umur; bank; rasio kecukupan modal; risiko kredit; kebijakan pembayaran dividen; pertumbuhan; likuiditas; profitabilitas; ukuran</w:t>
      </w:r>
    </w:p>
    <w:p w14:paraId="5ECB7125" w14:textId="674EF9CA" w:rsidR="00946698" w:rsidRPr="00946698" w:rsidRDefault="00946698" w:rsidP="00FF662D">
      <w:pPr>
        <w:pStyle w:val="NoSpacing"/>
        <w:spacing w:after="600" w:line="360" w:lineRule="auto"/>
        <w:jc w:val="both"/>
        <w:rPr>
          <w:rFonts w:ascii="Times New Roman" w:hAnsi="Times New Roman" w:cs="Times New Roman"/>
          <w:szCs w:val="24"/>
        </w:rPr>
        <w:sectPr w:rsidR="00946698" w:rsidRPr="00946698" w:rsidSect="00FF662D">
          <w:headerReference w:type="even" r:id="rId8"/>
          <w:headerReference w:type="default" r:id="rId9"/>
          <w:headerReference w:type="first" r:id="rId10"/>
          <w:footerReference w:type="first" r:id="rId11"/>
          <w:pgSz w:w="11906" w:h="16838"/>
          <w:pgMar w:top="1440" w:right="1440" w:bottom="1440" w:left="1440" w:header="709" w:footer="709" w:gutter="0"/>
          <w:cols w:space="708"/>
          <w:titlePg/>
          <w:docGrid w:linePitch="360"/>
        </w:sectPr>
      </w:pPr>
    </w:p>
    <w:p w14:paraId="3DC091FA" w14:textId="30491EFF" w:rsidR="00CC1CBB" w:rsidRPr="00F52FFB" w:rsidRDefault="00CC1CBB" w:rsidP="00FF620A">
      <w:pPr>
        <w:pStyle w:val="NoSpacing"/>
        <w:spacing w:before="6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lastRenderedPageBreak/>
        <w:t>PENDAHULUAN</w:t>
      </w:r>
      <w:r w:rsidR="000F4DEB">
        <w:rPr>
          <w:rFonts w:ascii="Times New Roman" w:hAnsi="Times New Roman" w:cs="Times New Roman"/>
          <w:b/>
          <w:sz w:val="24"/>
          <w:szCs w:val="24"/>
        </w:rPr>
        <w:t xml:space="preserve"> </w:t>
      </w:r>
    </w:p>
    <w:p w14:paraId="2DC4147A" w14:textId="77777777" w:rsidR="000C0C13" w:rsidRDefault="000C0C13" w:rsidP="005018CE">
      <w:pPr>
        <w:pStyle w:val="NoSpacing"/>
        <w:spacing w:line="276" w:lineRule="auto"/>
        <w:ind w:firstLine="567"/>
        <w:jc w:val="both"/>
        <w:rPr>
          <w:rFonts w:ascii="Times New Roman" w:hAnsi="Times New Roman" w:cs="Times New Roman"/>
          <w:sz w:val="24"/>
          <w:szCs w:val="24"/>
        </w:rPr>
      </w:pPr>
      <w:r w:rsidRPr="000C0C13">
        <w:rPr>
          <w:rFonts w:ascii="Times New Roman" w:hAnsi="Times New Roman" w:cs="Times New Roman"/>
          <w:sz w:val="24"/>
          <w:szCs w:val="24"/>
        </w:rPr>
        <w:t xml:space="preserve">Perbankan memiliki peran yang sangat penting bagi sebuah negara karena perbankan memiliki fungsi untuk menjaga kestabilan sistem keuangan dan perekonomian suatu negara. Perbankan menerapkan prinsip kehati-hatian dimana mewajibkan bank selalu berhati-hati dalam </w:t>
      </w:r>
      <w:r w:rsidRPr="000C0C13">
        <w:rPr>
          <w:rFonts w:ascii="Times New Roman" w:hAnsi="Times New Roman" w:cs="Times New Roman"/>
          <w:sz w:val="24"/>
          <w:szCs w:val="24"/>
        </w:rPr>
        <w:lastRenderedPageBreak/>
        <w:t xml:space="preserve">melakukan kegiatan operasionalnya agar tidak membahayakan baik nasabah, masyarakat dan perekonomian negara. Bank diharapkan dapat menjadi penopang dalam bertahan menjaga stabilitas perekonomian negara jika sewaktu-waktu krisis moneter terjadi. Untuk itu, bank harus menjaga </w:t>
      </w:r>
      <w:proofErr w:type="gramStart"/>
      <w:r w:rsidRPr="000C0C13">
        <w:rPr>
          <w:rFonts w:ascii="Times New Roman" w:hAnsi="Times New Roman" w:cs="Times New Roman"/>
          <w:sz w:val="24"/>
          <w:szCs w:val="24"/>
        </w:rPr>
        <w:t>nama</w:t>
      </w:r>
      <w:proofErr w:type="gramEnd"/>
      <w:r w:rsidRPr="000C0C13">
        <w:rPr>
          <w:rFonts w:ascii="Times New Roman" w:hAnsi="Times New Roman" w:cs="Times New Roman"/>
          <w:sz w:val="24"/>
          <w:szCs w:val="24"/>
        </w:rPr>
        <w:t xml:space="preserve"> baik dan meningkatkan nilai </w:t>
      </w:r>
      <w:r w:rsidRPr="000C0C13">
        <w:rPr>
          <w:rFonts w:ascii="Times New Roman" w:hAnsi="Times New Roman" w:cs="Times New Roman"/>
          <w:sz w:val="24"/>
          <w:szCs w:val="24"/>
        </w:rPr>
        <w:lastRenderedPageBreak/>
        <w:t>bank untuk menjaga kepercayaan dari nasabah dan masyarakat. Salah satu hal yang dapat ditinjau untuk mengukur nilai suatu perusahaan adalah kinerja keuangan, pergerakan harga saham dan</w:t>
      </w:r>
      <w:r>
        <w:rPr>
          <w:rFonts w:ascii="Times New Roman" w:hAnsi="Times New Roman" w:cs="Times New Roman"/>
          <w:sz w:val="24"/>
          <w:szCs w:val="24"/>
        </w:rPr>
        <w:t xml:space="preserve"> kemakmuran para pemegang saham. </w:t>
      </w:r>
    </w:p>
    <w:p w14:paraId="4C37FE08" w14:textId="77777777" w:rsidR="000C0C13" w:rsidRDefault="000C0C13" w:rsidP="009E5B08">
      <w:pPr>
        <w:pStyle w:val="NoSpacing"/>
        <w:spacing w:before="200" w:after="120" w:line="276" w:lineRule="auto"/>
        <w:jc w:val="both"/>
        <w:rPr>
          <w:rFonts w:ascii="Times New Roman" w:eastAsia="Times New Roman" w:hAnsi="Times New Roman" w:cs="Times New Roman"/>
          <w:sz w:val="24"/>
          <w:szCs w:val="24"/>
        </w:rPr>
      </w:pPr>
      <w:r w:rsidRPr="000C0C13">
        <w:rPr>
          <w:rFonts w:ascii="Times New Roman" w:eastAsia="Times New Roman" w:hAnsi="Times New Roman" w:cs="Times New Roman"/>
          <w:sz w:val="24"/>
          <w:szCs w:val="24"/>
        </w:rPr>
        <w:t>Perbankan Indonesia mengalami masa-masa sulit selama 5 tahun terakhir yang disebabkan oleh perlambatan faktor ekonomi dengan rata-rata pertumbuhan kredit selama 5 tahun hanya kisaran 10% per tahun. Apalagi munculnya pandemi covid-19 di tahun 2020 semakin menekan sektor perbankan Indonesia yang ditandai dengan minus 2,41% (yoy) pada penyaluran kredit bank yang diakibatkan perlambatan sektor riil. Walaupun demikian kredit Bank BUMN masih tetap tumbuh sekitar 0</w:t>
      </w:r>
      <w:proofErr w:type="gramStart"/>
      <w:r w:rsidRPr="000C0C13">
        <w:rPr>
          <w:rFonts w:ascii="Times New Roman" w:eastAsia="Times New Roman" w:hAnsi="Times New Roman" w:cs="Times New Roman"/>
          <w:sz w:val="24"/>
          <w:szCs w:val="24"/>
        </w:rPr>
        <w:t>,63</w:t>
      </w:r>
      <w:proofErr w:type="gramEnd"/>
      <w:r w:rsidRPr="000C0C13">
        <w:rPr>
          <w:rFonts w:ascii="Times New Roman" w:eastAsia="Times New Roman" w:hAnsi="Times New Roman" w:cs="Times New Roman"/>
          <w:sz w:val="24"/>
          <w:szCs w:val="24"/>
        </w:rPr>
        <w:t>%. Selain itu kredit BPD juga tumbuh 5</w:t>
      </w:r>
      <w:proofErr w:type="gramStart"/>
      <w:r w:rsidRPr="000C0C13">
        <w:rPr>
          <w:rFonts w:ascii="Times New Roman" w:eastAsia="Times New Roman" w:hAnsi="Times New Roman" w:cs="Times New Roman"/>
          <w:sz w:val="24"/>
          <w:szCs w:val="24"/>
        </w:rPr>
        <w:t>,22</w:t>
      </w:r>
      <w:proofErr w:type="gramEnd"/>
      <w:r w:rsidRPr="000C0C13">
        <w:rPr>
          <w:rFonts w:ascii="Times New Roman" w:eastAsia="Times New Roman" w:hAnsi="Times New Roman" w:cs="Times New Roman"/>
          <w:sz w:val="24"/>
          <w:szCs w:val="24"/>
        </w:rPr>
        <w:t>% serta bank syariah tumbuh cukup tinggi dari sektor perbankan lain dengan tingkat pertumbuhan 9,5% per tahun. Meski begitu rata-rata bank masih membayarkan dividennya kepada pemegang saham (Septiadi, 2020).</w:t>
      </w:r>
    </w:p>
    <w:p w14:paraId="268A06A5" w14:textId="2F59FC4C" w:rsidR="000C0C13" w:rsidRDefault="000C0C13" w:rsidP="009E5B08">
      <w:pPr>
        <w:pStyle w:val="NoSpacing"/>
        <w:spacing w:before="200" w:after="120" w:line="276" w:lineRule="auto"/>
        <w:jc w:val="both"/>
        <w:rPr>
          <w:rFonts w:ascii="Times New Roman" w:eastAsia="Times New Roman" w:hAnsi="Times New Roman" w:cs="Times New Roman"/>
          <w:sz w:val="24"/>
          <w:szCs w:val="24"/>
        </w:rPr>
      </w:pPr>
      <w:r w:rsidRPr="000C0C13">
        <w:rPr>
          <w:rFonts w:ascii="Times New Roman" w:eastAsia="Times New Roman" w:hAnsi="Times New Roman" w:cs="Times New Roman"/>
          <w:sz w:val="24"/>
          <w:szCs w:val="24"/>
        </w:rPr>
        <w:t xml:space="preserve">Setiap perusahaan tidak terkecuali bank menginginkan untuk memiliki kinerja keuangan yang baik agar dapat tumbuh dan berkembang sehingga memiliki kemampuan untuk memberikan tingkat return kepada stakeholder atau pihak yang memiliki kepentingan terhadap perusahaan. Salah satu pihak tersebut adalah pemegang saham pada perusahaan go public. Pemegang saham berharap dapat mendapatkan tingkat return yang tinggi dari investasinya secara kontinyu dalam bentuk dividen yang dibagikan oleh perusahaan. Dividen yang diberikan secara berkala dan konsisten dapat memberikan kesan yang baik dimata pemegang saham dan dimata </w:t>
      </w:r>
      <w:r w:rsidRPr="000C0C13">
        <w:rPr>
          <w:rFonts w:ascii="Times New Roman" w:eastAsia="Times New Roman" w:hAnsi="Times New Roman" w:cs="Times New Roman"/>
          <w:sz w:val="24"/>
          <w:szCs w:val="24"/>
        </w:rPr>
        <w:lastRenderedPageBreak/>
        <w:t>publik serta menyiratkan bahwa perusahaan tersebut dalam kondisi yang baik serta kinerja yang menjanjikan.</w:t>
      </w:r>
    </w:p>
    <w:p w14:paraId="2A30B4EB" w14:textId="3FD41AE3" w:rsidR="000C0C13" w:rsidRDefault="000C0C13" w:rsidP="009E5B08">
      <w:pPr>
        <w:pStyle w:val="NoSpacing"/>
        <w:spacing w:before="200" w:after="120" w:line="276" w:lineRule="auto"/>
        <w:jc w:val="both"/>
        <w:rPr>
          <w:rFonts w:ascii="Times New Roman" w:eastAsia="Times New Roman" w:hAnsi="Times New Roman" w:cs="Times New Roman"/>
          <w:sz w:val="24"/>
          <w:szCs w:val="24"/>
        </w:rPr>
      </w:pPr>
      <w:r w:rsidRPr="000C0C13">
        <w:rPr>
          <w:rFonts w:ascii="Times New Roman" w:eastAsia="Times New Roman" w:hAnsi="Times New Roman" w:cs="Times New Roman"/>
          <w:sz w:val="24"/>
          <w:szCs w:val="24"/>
        </w:rPr>
        <w:t xml:space="preserve">Kebijakan dividen ini sudah banyak menjadi pembahasan oleh para sarjana dan cendekiawan dalam literatur keuangan perusahaan (Budagaga, 2020). Kebijakan pembayaran dividen membuat banyak manajer dilema mengenai apakah laba yang diperoleh perusahaan </w:t>
      </w:r>
      <w:proofErr w:type="gramStart"/>
      <w:r w:rsidRPr="000C0C13">
        <w:rPr>
          <w:rFonts w:ascii="Times New Roman" w:eastAsia="Times New Roman" w:hAnsi="Times New Roman" w:cs="Times New Roman"/>
          <w:sz w:val="24"/>
          <w:szCs w:val="24"/>
        </w:rPr>
        <w:t>akan</w:t>
      </w:r>
      <w:proofErr w:type="gramEnd"/>
      <w:r w:rsidRPr="000C0C13">
        <w:rPr>
          <w:rFonts w:ascii="Times New Roman" w:eastAsia="Times New Roman" w:hAnsi="Times New Roman" w:cs="Times New Roman"/>
          <w:sz w:val="24"/>
          <w:szCs w:val="24"/>
        </w:rPr>
        <w:t xml:space="preserve"> dibagikan kepada investor sesuai dengan jumlah saham yang dimiliki sebagai dividen atau akan dijadikan retained earning untuk menambah modal investasi perusahaan di masa mendatang (Utami &amp; Darmayanti, 2018). Pembayaran dividen yang kecil </w:t>
      </w:r>
      <w:proofErr w:type="gramStart"/>
      <w:r w:rsidRPr="000C0C13">
        <w:rPr>
          <w:rFonts w:ascii="Times New Roman" w:eastAsia="Times New Roman" w:hAnsi="Times New Roman" w:cs="Times New Roman"/>
          <w:sz w:val="24"/>
          <w:szCs w:val="24"/>
        </w:rPr>
        <w:t>akan</w:t>
      </w:r>
      <w:proofErr w:type="gramEnd"/>
      <w:r w:rsidRPr="000C0C13">
        <w:rPr>
          <w:rFonts w:ascii="Times New Roman" w:eastAsia="Times New Roman" w:hAnsi="Times New Roman" w:cs="Times New Roman"/>
          <w:sz w:val="24"/>
          <w:szCs w:val="24"/>
        </w:rPr>
        <w:t xml:space="preserve"> merugikan para pemegang saham namun internal finansial perusahaan akan semakin kuat karena dana tersebut akan ditahan untuk memanfaatkan peluang investasi yang ada dalam mengembangkan perusahaan (Estiasih et al., 2020).</w:t>
      </w:r>
    </w:p>
    <w:p w14:paraId="47184D9B" w14:textId="06EDC09D" w:rsidR="000C0C13" w:rsidRDefault="000C0C13" w:rsidP="009E5B08">
      <w:pPr>
        <w:pStyle w:val="NoSpacing"/>
        <w:spacing w:before="200" w:after="120" w:line="276" w:lineRule="auto"/>
        <w:jc w:val="both"/>
        <w:rPr>
          <w:rFonts w:ascii="Times New Roman" w:eastAsia="Times New Roman" w:hAnsi="Times New Roman" w:cs="Times New Roman"/>
          <w:sz w:val="24"/>
          <w:szCs w:val="24"/>
        </w:rPr>
      </w:pPr>
      <w:r w:rsidRPr="000C0C13">
        <w:rPr>
          <w:rFonts w:ascii="Times New Roman" w:eastAsia="Times New Roman" w:hAnsi="Times New Roman" w:cs="Times New Roman"/>
          <w:sz w:val="24"/>
          <w:szCs w:val="24"/>
        </w:rPr>
        <w:t xml:space="preserve">Keputusan pembagian dividen disesuaikan dengan masing-masing kondisi dan kebijakan dari perusahaan tersebut. Banyak faktor yang dapat dipertimbangkan oleh manajer sebelum mengambil keputusan terkait pembagian dividen. Tentu saja hal itu bertujuan agar terjadi keseimbangan antara kepentingan investor dan manajer perusahaan terkait dengan keputusan pembayaran dividen. Kebijakan pembayaran dividen yang optimal </w:t>
      </w:r>
      <w:proofErr w:type="gramStart"/>
      <w:r w:rsidRPr="000C0C13">
        <w:rPr>
          <w:rFonts w:ascii="Times New Roman" w:eastAsia="Times New Roman" w:hAnsi="Times New Roman" w:cs="Times New Roman"/>
          <w:sz w:val="24"/>
          <w:szCs w:val="24"/>
        </w:rPr>
        <w:t>akan</w:t>
      </w:r>
      <w:proofErr w:type="gramEnd"/>
      <w:r w:rsidRPr="000C0C13">
        <w:rPr>
          <w:rFonts w:ascii="Times New Roman" w:eastAsia="Times New Roman" w:hAnsi="Times New Roman" w:cs="Times New Roman"/>
          <w:sz w:val="24"/>
          <w:szCs w:val="24"/>
        </w:rPr>
        <w:t xml:space="preserve"> menghasilkan peningkatan nilai dan kinerja perusahaan.</w:t>
      </w:r>
    </w:p>
    <w:p w14:paraId="6A02E933" w14:textId="4490C91D" w:rsidR="000C0C13" w:rsidRDefault="000C0C13" w:rsidP="009E5B08">
      <w:pPr>
        <w:pStyle w:val="NoSpacing"/>
        <w:spacing w:before="200" w:after="120" w:line="276" w:lineRule="auto"/>
        <w:jc w:val="both"/>
        <w:rPr>
          <w:rFonts w:ascii="Times New Roman" w:eastAsia="Times New Roman" w:hAnsi="Times New Roman" w:cs="Times New Roman"/>
          <w:sz w:val="24"/>
          <w:szCs w:val="24"/>
        </w:rPr>
      </w:pPr>
      <w:r w:rsidRPr="000C0C13">
        <w:rPr>
          <w:rFonts w:ascii="Times New Roman" w:eastAsia="Times New Roman" w:hAnsi="Times New Roman" w:cs="Times New Roman"/>
          <w:sz w:val="24"/>
          <w:szCs w:val="24"/>
        </w:rPr>
        <w:t>Penelitian terkait faktor yang mempengaruhi kebijakan manajer dalam mengambil keputusan pembayaran dividen telah banyak dilakukan oleh peneliti di dunia.</w:t>
      </w:r>
      <w:r>
        <w:rPr>
          <w:rFonts w:ascii="Times New Roman" w:eastAsia="Times New Roman" w:hAnsi="Times New Roman" w:cs="Times New Roman"/>
          <w:sz w:val="24"/>
          <w:szCs w:val="24"/>
        </w:rPr>
        <w:t xml:space="preserve"> Misal penelitian dengan judul </w:t>
      </w:r>
      <w:r w:rsidRPr="000C0C13">
        <w:rPr>
          <w:rFonts w:ascii="Times New Roman" w:eastAsia="Times New Roman" w:hAnsi="Times New Roman" w:cs="Times New Roman"/>
          <w:i/>
          <w:sz w:val="24"/>
          <w:szCs w:val="24"/>
        </w:rPr>
        <w:t xml:space="preserve">Determinants of banks’ dividend payment </w:t>
      </w:r>
      <w:r w:rsidRPr="000C0C13">
        <w:rPr>
          <w:rFonts w:ascii="Times New Roman" w:eastAsia="Times New Roman" w:hAnsi="Times New Roman" w:cs="Times New Roman"/>
          <w:i/>
          <w:sz w:val="24"/>
          <w:szCs w:val="24"/>
        </w:rPr>
        <w:lastRenderedPageBreak/>
        <w:t>decisions: evidence from MENA countries</w:t>
      </w:r>
      <w:r>
        <w:rPr>
          <w:rFonts w:ascii="Times New Roman" w:eastAsia="Times New Roman" w:hAnsi="Times New Roman" w:cs="Times New Roman"/>
          <w:sz w:val="24"/>
          <w:szCs w:val="24"/>
          <w:lang w:val="id-ID"/>
        </w:rPr>
        <w:t xml:space="preserve"> </w:t>
      </w:r>
      <w:r w:rsidRPr="000C0C13">
        <w:rPr>
          <w:rFonts w:ascii="Times New Roman" w:eastAsia="Times New Roman" w:hAnsi="Times New Roman" w:cs="Times New Roman"/>
          <w:sz w:val="24"/>
          <w:szCs w:val="24"/>
        </w:rPr>
        <w:t xml:space="preserve">(Budagaga, 2020). Penelitian ini menganalisis pengaruh size, profitability, capital adequacy, liquidity, credit risk, dan bank’s age terhadap kebijakan pembayaran dividen bank di negara MENA. Hasilnya </w:t>
      </w:r>
      <w:r w:rsidRPr="000C0C13">
        <w:rPr>
          <w:rFonts w:ascii="Times New Roman" w:eastAsia="Times New Roman" w:hAnsi="Times New Roman" w:cs="Times New Roman"/>
          <w:i/>
          <w:sz w:val="24"/>
          <w:szCs w:val="24"/>
        </w:rPr>
        <w:t>size, profitability, capital Adequacy, age</w:t>
      </w:r>
      <w:r w:rsidRPr="000C0C13">
        <w:rPr>
          <w:rFonts w:ascii="Times New Roman" w:eastAsia="Times New Roman" w:hAnsi="Times New Roman" w:cs="Times New Roman"/>
          <w:sz w:val="24"/>
          <w:szCs w:val="24"/>
        </w:rPr>
        <w:t xml:space="preserve"> memiliki pengaruh positif, sedangkan </w:t>
      </w:r>
      <w:r w:rsidRPr="000C0C13">
        <w:rPr>
          <w:rFonts w:ascii="Times New Roman" w:eastAsia="Times New Roman" w:hAnsi="Times New Roman" w:cs="Times New Roman"/>
          <w:i/>
          <w:sz w:val="24"/>
          <w:szCs w:val="24"/>
        </w:rPr>
        <w:t>credit risk</w:t>
      </w:r>
      <w:r w:rsidRPr="000C0C13">
        <w:rPr>
          <w:rFonts w:ascii="Times New Roman" w:eastAsia="Times New Roman" w:hAnsi="Times New Roman" w:cs="Times New Roman"/>
          <w:sz w:val="24"/>
          <w:szCs w:val="24"/>
        </w:rPr>
        <w:t xml:space="preserve"> memiliki pengaruh negatif terhadap kebijakan pembayaran dividen bank. Selain itu, </w:t>
      </w:r>
      <w:r w:rsidRPr="000C0C13">
        <w:rPr>
          <w:rFonts w:ascii="Times New Roman" w:eastAsia="Times New Roman" w:hAnsi="Times New Roman" w:cs="Times New Roman"/>
          <w:i/>
          <w:sz w:val="24"/>
          <w:szCs w:val="24"/>
        </w:rPr>
        <w:t>growth</w:t>
      </w:r>
      <w:r w:rsidRPr="000C0C13">
        <w:rPr>
          <w:rFonts w:ascii="Times New Roman" w:eastAsia="Times New Roman" w:hAnsi="Times New Roman" w:cs="Times New Roman"/>
          <w:sz w:val="24"/>
          <w:szCs w:val="24"/>
        </w:rPr>
        <w:t xml:space="preserve"> dan </w:t>
      </w:r>
      <w:r w:rsidRPr="000C0C13">
        <w:rPr>
          <w:rFonts w:ascii="Times New Roman" w:eastAsia="Times New Roman" w:hAnsi="Times New Roman" w:cs="Times New Roman"/>
          <w:i/>
          <w:sz w:val="24"/>
          <w:szCs w:val="24"/>
        </w:rPr>
        <w:t>liquidity</w:t>
      </w:r>
      <w:r w:rsidRPr="000C0C13">
        <w:rPr>
          <w:rFonts w:ascii="Times New Roman" w:eastAsia="Times New Roman" w:hAnsi="Times New Roman" w:cs="Times New Roman"/>
          <w:sz w:val="24"/>
          <w:szCs w:val="24"/>
        </w:rPr>
        <w:t xml:space="preserve"> tidak berpengaruh secara signifikan terhadap pembayaran dividen bank.</w:t>
      </w:r>
    </w:p>
    <w:tbl>
      <w:tblPr>
        <w:tblpPr w:leftFromText="180" w:rightFromText="180" w:vertAnchor="text" w:horzAnchor="margin" w:tblpY="5932"/>
        <w:tblW w:w="9467" w:type="dxa"/>
        <w:tblLayout w:type="fixed"/>
        <w:tblCellMar>
          <w:top w:w="15" w:type="dxa"/>
          <w:left w:w="15" w:type="dxa"/>
          <w:bottom w:w="15" w:type="dxa"/>
          <w:right w:w="15" w:type="dxa"/>
        </w:tblCellMar>
        <w:tblLook w:val="04A0" w:firstRow="1" w:lastRow="0" w:firstColumn="1" w:lastColumn="0" w:noHBand="0" w:noVBand="1"/>
      </w:tblPr>
      <w:tblGrid>
        <w:gridCol w:w="1185"/>
        <w:gridCol w:w="920"/>
        <w:gridCol w:w="921"/>
        <w:gridCol w:w="920"/>
        <w:gridCol w:w="920"/>
        <w:gridCol w:w="920"/>
        <w:gridCol w:w="921"/>
        <w:gridCol w:w="920"/>
        <w:gridCol w:w="920"/>
        <w:gridCol w:w="920"/>
      </w:tblGrid>
      <w:tr w:rsidR="007E6381" w:rsidRPr="00705FF1" w14:paraId="405D6C6C" w14:textId="77777777" w:rsidTr="007E6381">
        <w:trPr>
          <w:trHeight w:val="25"/>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205919" w14:textId="77777777" w:rsidR="007E6381" w:rsidRPr="003E1C78" w:rsidRDefault="007E6381" w:rsidP="007E6381">
            <w:pPr>
              <w:spacing w:line="240" w:lineRule="auto"/>
              <w:jc w:val="center"/>
              <w:rPr>
                <w:rFonts w:ascii="Times New Roman" w:eastAsia="Times New Roman" w:hAnsi="Times New Roman" w:cs="Times New Roman"/>
                <w:sz w:val="16"/>
                <w:szCs w:val="20"/>
              </w:rPr>
            </w:pP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06DF64" w14:textId="77777777"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DPOR</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B4A180" w14:textId="77777777"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PAYDIV</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A45862" w14:textId="77777777"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SIZE</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F79E0" w14:textId="77777777"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ROE</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534AC9" w14:textId="3C9EEC6D"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E_TA</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68D4A4" w14:textId="493F5D2B"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GTA</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26653" w14:textId="14E111F8"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NL_TA</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0C7AB0" w14:textId="77777777"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CR</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CB6138" w14:textId="77777777" w:rsidR="007E6381" w:rsidRPr="003E1C78" w:rsidRDefault="007E6381" w:rsidP="007E6381">
            <w:pPr>
              <w:spacing w:line="240" w:lineRule="auto"/>
              <w:jc w:val="center"/>
              <w:rPr>
                <w:rFonts w:ascii="Times New Roman" w:eastAsia="Times New Roman" w:hAnsi="Times New Roman" w:cs="Times New Roman"/>
                <w:sz w:val="16"/>
                <w:szCs w:val="20"/>
              </w:rPr>
            </w:pPr>
            <w:r w:rsidRPr="003E1C78">
              <w:rPr>
                <w:rFonts w:ascii="Times New Roman" w:eastAsia="Times New Roman" w:hAnsi="Times New Roman" w:cs="Times New Roman"/>
                <w:b/>
                <w:bCs/>
                <w:i/>
                <w:iCs/>
                <w:color w:val="000000"/>
                <w:sz w:val="16"/>
                <w:szCs w:val="20"/>
              </w:rPr>
              <w:t>AGE</w:t>
            </w:r>
          </w:p>
        </w:tc>
      </w:tr>
      <w:tr w:rsidR="007E6381" w:rsidRPr="00705FF1" w14:paraId="4F9C5AA4" w14:textId="77777777" w:rsidTr="007E6381">
        <w:trPr>
          <w:trHeight w:val="74"/>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4539"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Mean</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D7B50"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0.313154</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0A393"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0.813725</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00D61"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20.07877</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E06F3"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0.089023</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D6169" w14:textId="3535D3FB"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0.169897</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EB769"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0.220839</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F0ED0" w14:textId="2FE7E3BB"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0.636667</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808F9"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0.030668</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EFE8"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4.079211</w:t>
            </w:r>
          </w:p>
        </w:tc>
      </w:tr>
      <w:tr w:rsidR="007E6381" w:rsidRPr="00705FF1" w14:paraId="7F66FECD" w14:textId="77777777" w:rsidTr="007E6381">
        <w:trPr>
          <w:trHeight w:val="49"/>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E2ABB"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Maximum</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A2A04"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2.683633</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AAC60"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1.000000</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3BF4E"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30.28142</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F0AD8"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0.224621</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F5CE" w14:textId="41EDE91D"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0.283145</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5CAE9"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11.69486</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615C7" w14:textId="1AA7E90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1.479275</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E3190"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0.108978</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0129E"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4.836282</w:t>
            </w:r>
          </w:p>
        </w:tc>
      </w:tr>
      <w:tr w:rsidR="007E6381" w:rsidRPr="00705FF1" w14:paraId="2C14641F" w14:textId="77777777" w:rsidTr="007E6381">
        <w:trPr>
          <w:trHeight w:val="6"/>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A02A6"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Minimum</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45DAB"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-0.04207</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A27E9"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0.000000</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9F7BA"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7.947911</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16B7F" w14:textId="20952319"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-0.33609</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5A135"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0.055336</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63F53" w14:textId="28BA3B03"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-0.13411</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84185" w14:textId="53B7F95D"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0.393846</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67A82"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0.000570</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6BC59"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2.833213</w:t>
            </w:r>
          </w:p>
        </w:tc>
      </w:tr>
      <w:tr w:rsidR="007E6381" w:rsidRPr="00705FF1" w14:paraId="776F8232" w14:textId="77777777" w:rsidTr="007E6381">
        <w:trPr>
          <w:trHeight w:val="20"/>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1BF2C"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b/>
                <w:bCs/>
                <w:color w:val="000000"/>
                <w:sz w:val="16"/>
                <w:szCs w:val="20"/>
              </w:rPr>
              <w:t>Std. Deviation</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FC084"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0.373692</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9775E"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0.391251</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5552C"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4.735228</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54ED" w14:textId="5B4E7BA9"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0.073440</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B6B4"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0.105007</w:t>
            </w:r>
          </w:p>
        </w:tc>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4F07C" w14:textId="4EB7C1C3"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1.151635</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A82DC"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0.117743</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B2C81"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0.021431</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730FF" w14:textId="77777777" w:rsidR="007E6381" w:rsidRPr="003E1C78" w:rsidRDefault="007E6381" w:rsidP="007E6381">
            <w:pPr>
              <w:spacing w:line="240" w:lineRule="auto"/>
              <w:jc w:val="both"/>
              <w:rPr>
                <w:rFonts w:ascii="Times New Roman" w:eastAsia="Times New Roman" w:hAnsi="Times New Roman" w:cs="Times New Roman"/>
                <w:sz w:val="16"/>
                <w:szCs w:val="20"/>
              </w:rPr>
            </w:pPr>
            <w:r w:rsidRPr="003E1C78">
              <w:rPr>
                <w:rFonts w:ascii="Times New Roman" w:eastAsia="Times New Roman" w:hAnsi="Times New Roman" w:cs="Times New Roman"/>
                <w:color w:val="000000"/>
                <w:sz w:val="16"/>
                <w:szCs w:val="20"/>
              </w:rPr>
              <w:t>0.454847</w:t>
            </w:r>
          </w:p>
        </w:tc>
      </w:tr>
    </w:tbl>
    <w:p w14:paraId="42070BAD" w14:textId="41E8D6BD" w:rsidR="007E6381" w:rsidRDefault="007E6381" w:rsidP="009E5B08">
      <w:pPr>
        <w:pStyle w:val="NoSpacing"/>
        <w:spacing w:before="200" w:after="120" w:line="276" w:lineRule="auto"/>
        <w:jc w:val="both"/>
        <w:rPr>
          <w:rFonts w:ascii="Times New Roman" w:eastAsia="Times New Roman" w:hAnsi="Times New Roman" w:cs="Times New Roman"/>
          <w:sz w:val="24"/>
          <w:szCs w:val="24"/>
        </w:rPr>
      </w:pPr>
      <w:r w:rsidRPr="000C0C13">
        <w:rPr>
          <w:rFonts w:ascii="Times New Roman" w:eastAsia="Times New Roman" w:hAnsi="Times New Roman" w:cs="Times New Roman"/>
          <w:sz w:val="24"/>
          <w:szCs w:val="24"/>
        </w:rPr>
        <w:t xml:space="preserve"> </w:t>
      </w:r>
      <w:r w:rsidR="000C0C13" w:rsidRPr="000C0C13">
        <w:rPr>
          <w:rFonts w:ascii="Times New Roman" w:eastAsia="Times New Roman" w:hAnsi="Times New Roman" w:cs="Times New Roman"/>
          <w:sz w:val="24"/>
          <w:szCs w:val="24"/>
        </w:rPr>
        <w:t>Oleh karena itu, penelitian ini dimaksudkan untuk meneliti kembali faktor-faktor (</w:t>
      </w:r>
      <w:r w:rsidR="000C0C13" w:rsidRPr="000C0C13">
        <w:rPr>
          <w:rFonts w:ascii="Times New Roman" w:eastAsia="Times New Roman" w:hAnsi="Times New Roman" w:cs="Times New Roman"/>
          <w:i/>
          <w:sz w:val="24"/>
          <w:szCs w:val="24"/>
        </w:rPr>
        <w:t>size, profitability, capital adequacy</w:t>
      </w:r>
      <w:r w:rsidR="00E46FC5">
        <w:rPr>
          <w:rFonts w:ascii="Times New Roman" w:eastAsia="Times New Roman" w:hAnsi="Times New Roman" w:cs="Times New Roman"/>
          <w:i/>
          <w:sz w:val="24"/>
          <w:szCs w:val="24"/>
          <w:lang w:val="id-ID"/>
        </w:rPr>
        <w:t xml:space="preserve"> ratio</w:t>
      </w:r>
      <w:r w:rsidR="000C0C13" w:rsidRPr="000C0C13">
        <w:rPr>
          <w:rFonts w:ascii="Times New Roman" w:eastAsia="Times New Roman" w:hAnsi="Times New Roman" w:cs="Times New Roman"/>
          <w:i/>
          <w:sz w:val="24"/>
          <w:szCs w:val="24"/>
        </w:rPr>
        <w:t xml:space="preserve">, </w:t>
      </w:r>
      <w:r w:rsidR="00E46FC5">
        <w:rPr>
          <w:rFonts w:ascii="Times New Roman" w:eastAsia="Times New Roman" w:hAnsi="Times New Roman" w:cs="Times New Roman"/>
          <w:i/>
          <w:sz w:val="24"/>
          <w:szCs w:val="24"/>
          <w:lang w:val="id-ID"/>
        </w:rPr>
        <w:t xml:space="preserve">growth, </w:t>
      </w:r>
      <w:r w:rsidR="000C0C13" w:rsidRPr="000C0C13">
        <w:rPr>
          <w:rFonts w:ascii="Times New Roman" w:eastAsia="Times New Roman" w:hAnsi="Times New Roman" w:cs="Times New Roman"/>
          <w:i/>
          <w:sz w:val="24"/>
          <w:szCs w:val="24"/>
        </w:rPr>
        <w:t>liquidity, credit risk</w:t>
      </w:r>
      <w:r w:rsidR="000C0C13" w:rsidRPr="000C0C13">
        <w:rPr>
          <w:rFonts w:ascii="Times New Roman" w:eastAsia="Times New Roman" w:hAnsi="Times New Roman" w:cs="Times New Roman"/>
          <w:sz w:val="24"/>
          <w:szCs w:val="24"/>
        </w:rPr>
        <w:t xml:space="preserve">, dan </w:t>
      </w:r>
      <w:r w:rsidR="000C0C13" w:rsidRPr="000C0C13">
        <w:rPr>
          <w:rFonts w:ascii="Times New Roman" w:eastAsia="Times New Roman" w:hAnsi="Times New Roman" w:cs="Times New Roman"/>
          <w:i/>
          <w:sz w:val="24"/>
          <w:szCs w:val="24"/>
        </w:rPr>
        <w:t>bank’s age</w:t>
      </w:r>
      <w:r w:rsidR="000C0C13" w:rsidRPr="000C0C13">
        <w:rPr>
          <w:rFonts w:ascii="Times New Roman" w:eastAsia="Times New Roman" w:hAnsi="Times New Roman" w:cs="Times New Roman"/>
          <w:sz w:val="24"/>
          <w:szCs w:val="24"/>
        </w:rPr>
        <w:t xml:space="preserve">) terhadap kebijakan manajer terkait dengan pembayaran dividen yang akan diberikan kepada para pemegang saham yang dihitung dengan DPOR. Biasanya DPOR dihitung dengan perbandingan dividen per share terhadap earning per share. Namun pada penelitian ini, DPOR dihitung dengan perbandingan total dividend terhadap net income perusahaan.  Penelitian dengan judul “Faktor-Faktor Penentu Dalam Pengambilan Kebijakan Pembayaran Dividen Pada Bank Yang Terdaftar </w:t>
      </w:r>
    </w:p>
    <w:p w14:paraId="3717C915" w14:textId="2357D101" w:rsidR="000C0C13" w:rsidRDefault="000C0C13" w:rsidP="009E5B08">
      <w:pPr>
        <w:pStyle w:val="NoSpacing"/>
        <w:spacing w:before="200" w:after="120" w:line="276" w:lineRule="auto"/>
        <w:jc w:val="both"/>
        <w:rPr>
          <w:rFonts w:ascii="Times New Roman" w:eastAsia="Times New Roman" w:hAnsi="Times New Roman" w:cs="Times New Roman"/>
          <w:sz w:val="24"/>
          <w:szCs w:val="24"/>
        </w:rPr>
      </w:pPr>
      <w:r w:rsidRPr="000C0C13">
        <w:rPr>
          <w:rFonts w:ascii="Times New Roman" w:eastAsia="Times New Roman" w:hAnsi="Times New Roman" w:cs="Times New Roman"/>
          <w:sz w:val="24"/>
          <w:szCs w:val="24"/>
        </w:rPr>
        <w:lastRenderedPageBreak/>
        <w:t xml:space="preserve">Di Bursa Efek Indonesia” ini </w:t>
      </w:r>
      <w:proofErr w:type="gramStart"/>
      <w:r w:rsidRPr="000C0C13">
        <w:rPr>
          <w:rFonts w:ascii="Times New Roman" w:eastAsia="Times New Roman" w:hAnsi="Times New Roman" w:cs="Times New Roman"/>
          <w:sz w:val="24"/>
          <w:szCs w:val="24"/>
        </w:rPr>
        <w:t>akan</w:t>
      </w:r>
      <w:proofErr w:type="gramEnd"/>
      <w:r w:rsidRPr="000C0C13">
        <w:rPr>
          <w:rFonts w:ascii="Times New Roman" w:eastAsia="Times New Roman" w:hAnsi="Times New Roman" w:cs="Times New Roman"/>
          <w:sz w:val="24"/>
          <w:szCs w:val="24"/>
        </w:rPr>
        <w:t xml:space="preserve"> dilakukan dengan mengambil subjek perbankan yang terdaftar pada Bursa Efek Indonesia dengan jangka waktu selama 6 tahun (2015-2020).</w:t>
      </w:r>
    </w:p>
    <w:p w14:paraId="59071830" w14:textId="7A557E96" w:rsidR="00CC1CBB" w:rsidRPr="00F52FFB" w:rsidRDefault="00CC1CBB" w:rsidP="009E5B08">
      <w:pPr>
        <w:pStyle w:val="NoSpacing"/>
        <w:spacing w:before="2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t>METODE PENELITIAN</w:t>
      </w:r>
      <w:r w:rsidR="00C7435E">
        <w:rPr>
          <w:rFonts w:ascii="Times New Roman" w:hAnsi="Times New Roman" w:cs="Times New Roman"/>
          <w:b/>
          <w:sz w:val="24"/>
          <w:szCs w:val="24"/>
        </w:rPr>
        <w:t xml:space="preserve"> </w:t>
      </w:r>
    </w:p>
    <w:p w14:paraId="09ACA5C8" w14:textId="4E13C5B7" w:rsidR="00F66C97" w:rsidRDefault="00963E67" w:rsidP="007E6381">
      <w:pPr>
        <w:pStyle w:val="NoSpacing"/>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w:t>
      </w:r>
      <w:r w:rsidR="003E7163">
        <w:rPr>
          <w:rFonts w:ascii="Times New Roman" w:hAnsi="Times New Roman" w:cs="Times New Roman"/>
          <w:sz w:val="24"/>
          <w:szCs w:val="24"/>
          <w:lang w:val="id-ID"/>
        </w:rPr>
        <w:t>elitian ini menggunakan pendekatan kuantitatif dengan m</w:t>
      </w:r>
      <w:r w:rsidR="003E7163" w:rsidRPr="003E7163">
        <w:rPr>
          <w:rFonts w:ascii="Times New Roman" w:hAnsi="Times New Roman" w:cs="Times New Roman"/>
          <w:sz w:val="24"/>
          <w:szCs w:val="24"/>
          <w:lang w:val="id-ID"/>
        </w:rPr>
        <w:t xml:space="preserve">etode pengambilan sampel yang digunakan </w:t>
      </w:r>
      <w:r w:rsidR="003E7163">
        <w:rPr>
          <w:rFonts w:ascii="Times New Roman" w:hAnsi="Times New Roman" w:cs="Times New Roman"/>
          <w:sz w:val="24"/>
          <w:szCs w:val="24"/>
          <w:lang w:val="id-ID"/>
        </w:rPr>
        <w:t xml:space="preserve">yaitu </w:t>
      </w:r>
      <w:r w:rsidR="003E7163" w:rsidRPr="003E7163">
        <w:rPr>
          <w:rFonts w:ascii="Times New Roman" w:hAnsi="Times New Roman" w:cs="Times New Roman"/>
          <w:i/>
          <w:sz w:val="24"/>
          <w:szCs w:val="24"/>
          <w:lang w:val="id-ID"/>
        </w:rPr>
        <w:t>purposive sampling</w:t>
      </w:r>
      <w:r w:rsidR="003E7163" w:rsidRPr="003E7163">
        <w:rPr>
          <w:rFonts w:ascii="Times New Roman" w:hAnsi="Times New Roman" w:cs="Times New Roman"/>
          <w:sz w:val="24"/>
          <w:szCs w:val="24"/>
          <w:lang w:val="id-ID"/>
        </w:rPr>
        <w:t xml:space="preserve"> yang dimana sampel </w:t>
      </w:r>
      <w:r w:rsidR="00C911FC" w:rsidRPr="003E7163">
        <w:rPr>
          <w:rFonts w:ascii="Times New Roman" w:hAnsi="Times New Roman" w:cs="Times New Roman"/>
          <w:sz w:val="24"/>
          <w:szCs w:val="24"/>
          <w:lang w:val="id-ID"/>
        </w:rPr>
        <w:t>untuk penelitian ini harus memenuhi kriteria-kriteria yang sudah ditetapkan</w:t>
      </w:r>
      <w:r w:rsidR="00C911FC">
        <w:rPr>
          <w:rFonts w:ascii="Times New Roman" w:hAnsi="Times New Roman" w:cs="Times New Roman"/>
          <w:sz w:val="24"/>
          <w:szCs w:val="24"/>
          <w:lang w:val="id-ID"/>
        </w:rPr>
        <w:t xml:space="preserve">. </w:t>
      </w:r>
      <w:r w:rsidR="00C911FC" w:rsidRPr="00C911FC">
        <w:rPr>
          <w:rFonts w:ascii="Times New Roman" w:hAnsi="Times New Roman" w:cs="Times New Roman"/>
          <w:sz w:val="24"/>
          <w:szCs w:val="24"/>
          <w:lang w:val="id-ID"/>
        </w:rPr>
        <w:t xml:space="preserve">Sampel dalam penelitian ini yaitu perusahaan perbankan yang berjumlah 17 dari 43 populasi perbankan konvensional yang terdaftar di Bursa Efek Indonesia selama jangka waktu 6 tahun (2015-2020). </w:t>
      </w:r>
      <w:r w:rsidR="00C911FC">
        <w:rPr>
          <w:rFonts w:ascii="Times New Roman" w:hAnsi="Times New Roman" w:cs="Times New Roman"/>
          <w:sz w:val="24"/>
          <w:szCs w:val="24"/>
          <w:lang w:val="id-ID"/>
        </w:rPr>
        <w:t xml:space="preserve">Variabel dalam penelitian ini meliputi variabel independen yakni </w:t>
      </w:r>
      <w:r w:rsidR="00C911FC" w:rsidRPr="007E6381">
        <w:rPr>
          <w:rFonts w:ascii="Times New Roman" w:hAnsi="Times New Roman" w:cs="Times New Roman"/>
          <w:i/>
          <w:sz w:val="24"/>
          <w:szCs w:val="24"/>
          <w:lang w:val="id-ID"/>
        </w:rPr>
        <w:t>size, profitability, capital adequacy ratio, growth opportunity, liquidity, credit risk,</w:t>
      </w:r>
      <w:r w:rsidR="00C911FC">
        <w:rPr>
          <w:rFonts w:ascii="Times New Roman" w:hAnsi="Times New Roman" w:cs="Times New Roman"/>
          <w:sz w:val="24"/>
          <w:szCs w:val="24"/>
          <w:lang w:val="id-ID"/>
        </w:rPr>
        <w:t xml:space="preserve"> dan </w:t>
      </w:r>
      <w:r w:rsidR="00C911FC" w:rsidRPr="007E6381">
        <w:rPr>
          <w:rFonts w:ascii="Times New Roman" w:hAnsi="Times New Roman" w:cs="Times New Roman"/>
          <w:i/>
          <w:sz w:val="24"/>
          <w:szCs w:val="24"/>
          <w:lang w:val="id-ID"/>
        </w:rPr>
        <w:t>bank’s age.</w:t>
      </w:r>
      <w:r w:rsidR="00C911FC">
        <w:rPr>
          <w:rFonts w:ascii="Times New Roman" w:hAnsi="Times New Roman" w:cs="Times New Roman"/>
          <w:sz w:val="24"/>
          <w:szCs w:val="24"/>
          <w:lang w:val="id-ID"/>
        </w:rPr>
        <w:t xml:space="preserve"> Beserta variabel dependen yakni kebijakan pembayaran dividen, dan kecenderungan membayar dividen. </w:t>
      </w:r>
      <w:r w:rsidR="00F03B40">
        <w:rPr>
          <w:rFonts w:ascii="Times New Roman" w:hAnsi="Times New Roman" w:cs="Times New Roman"/>
          <w:sz w:val="24"/>
          <w:szCs w:val="24"/>
          <w:lang w:val="id-ID"/>
        </w:rPr>
        <w:t>Metode analisis yang digunakan yaitu analisis regresi tobit dan logit.</w:t>
      </w:r>
    </w:p>
    <w:p w14:paraId="00B89CC1" w14:textId="11CEA621" w:rsidR="00344E4D" w:rsidRDefault="00F03B40" w:rsidP="00F03B40">
      <w:pPr>
        <w:pStyle w:val="NoSpacing"/>
        <w:spacing w:before="200" w:after="120" w:line="276"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14:paraId="7C924800" w14:textId="5E82543A" w:rsidR="00F03B40" w:rsidRDefault="009C4CE5" w:rsidP="003E1C78">
      <w:pPr>
        <w:pStyle w:val="NoSpacing"/>
        <w:spacing w:before="200" w:after="120" w:line="276"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644B8C55" wp14:editId="73943301">
                <wp:simplePos x="0" y="0"/>
                <wp:positionH relativeFrom="column">
                  <wp:posOffset>-833121</wp:posOffset>
                </wp:positionH>
                <wp:positionV relativeFrom="paragraph">
                  <wp:posOffset>360045</wp:posOffset>
                </wp:positionV>
                <wp:extent cx="2085975" cy="238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859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82B10" w14:textId="2CB2DF8B" w:rsidR="003E1C78" w:rsidRPr="007E6381" w:rsidRDefault="003E1C78">
                            <w:pPr>
                              <w:rPr>
                                <w:rFonts w:ascii="Times New Roman" w:hAnsi="Times New Roman" w:cs="Times New Roman"/>
                                <w:b/>
                                <w:sz w:val="18"/>
                                <w:lang w:val="id-ID"/>
                              </w:rPr>
                            </w:pPr>
                            <w:bookmarkStart w:id="0" w:name="_GoBack"/>
                            <w:r w:rsidRPr="009C4CE5">
                              <w:rPr>
                                <w:rFonts w:ascii="Times New Roman" w:hAnsi="Times New Roman" w:cs="Times New Roman"/>
                                <w:b/>
                                <w:sz w:val="18"/>
                                <w:lang w:val="id-ID"/>
                              </w:rPr>
                              <w:t xml:space="preserve">Tabel 1 Deskriptif Analisis </w:t>
                            </w:r>
                            <w:r w:rsidRPr="007E6381">
                              <w:rPr>
                                <w:rFonts w:ascii="Times New Roman" w:hAnsi="Times New Roman" w:cs="Times New Roman"/>
                                <w:b/>
                                <w:sz w:val="18"/>
                                <w:lang w:val="id-ID"/>
                              </w:rPr>
                              <w:t>St</w:t>
                            </w:r>
                            <w:bookmarkEnd w:id="0"/>
                            <w:r w:rsidRPr="007E6381">
                              <w:rPr>
                                <w:rFonts w:ascii="Times New Roman" w:hAnsi="Times New Roman" w:cs="Times New Roman"/>
                                <w:b/>
                                <w:sz w:val="18"/>
                                <w:lang w:val="id-ID"/>
                              </w:rPr>
                              <w:t>atistik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B8C55" id="_x0000_t202" coordsize="21600,21600" o:spt="202" path="m,l,21600r21600,l21600,xe">
                <v:stroke joinstyle="miter"/>
                <v:path gradientshapeok="t" o:connecttype="rect"/>
              </v:shapetype>
              <v:shape id="Text Box 1" o:spid="_x0000_s1026" type="#_x0000_t202" style="position:absolute;left:0;text-align:left;margin-left:-65.6pt;margin-top:28.35pt;width:164.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mgigIAAIoFAAAOAAAAZHJzL2Uyb0RvYy54bWysVEtPGzEQvlfqf7B8L5sEAi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" fillcolor="white [3201]" stroked="f" strokeweight=".5pt">
                <v:textbox>
                  <w:txbxContent>
                    <w:p w14:paraId="3E782B10" w14:textId="2CB2DF8B" w:rsidR="003E1C78" w:rsidRPr="007E6381" w:rsidRDefault="003E1C78">
                      <w:pPr>
                        <w:rPr>
                          <w:rFonts w:ascii="Times New Roman" w:hAnsi="Times New Roman" w:cs="Times New Roman"/>
                          <w:b/>
                          <w:sz w:val="18"/>
                          <w:lang w:val="id-ID"/>
                        </w:rPr>
                      </w:pPr>
                      <w:bookmarkStart w:id="1" w:name="_GoBack"/>
                      <w:r w:rsidRPr="009C4CE5">
                        <w:rPr>
                          <w:rFonts w:ascii="Times New Roman" w:hAnsi="Times New Roman" w:cs="Times New Roman"/>
                          <w:b/>
                          <w:sz w:val="18"/>
                          <w:lang w:val="id-ID"/>
                        </w:rPr>
                        <w:t xml:space="preserve">Tabel 1 Deskriptif Analisis </w:t>
                      </w:r>
                      <w:r w:rsidRPr="007E6381">
                        <w:rPr>
                          <w:rFonts w:ascii="Times New Roman" w:hAnsi="Times New Roman" w:cs="Times New Roman"/>
                          <w:b/>
                          <w:sz w:val="18"/>
                          <w:lang w:val="id-ID"/>
                        </w:rPr>
                        <w:t>St</w:t>
                      </w:r>
                      <w:bookmarkEnd w:id="1"/>
                      <w:r w:rsidRPr="007E6381">
                        <w:rPr>
                          <w:rFonts w:ascii="Times New Roman" w:hAnsi="Times New Roman" w:cs="Times New Roman"/>
                          <w:b/>
                          <w:sz w:val="18"/>
                          <w:lang w:val="id-ID"/>
                        </w:rPr>
                        <w:t>atistik</w:t>
                      </w:r>
                    </w:p>
                  </w:txbxContent>
                </v:textbox>
              </v:shape>
            </w:pict>
          </mc:Fallback>
        </mc:AlternateContent>
      </w:r>
      <w:r w:rsidR="00F03B40">
        <w:rPr>
          <w:rFonts w:ascii="Times New Roman" w:eastAsia="Times New Roman" w:hAnsi="Times New Roman" w:cs="Times New Roman"/>
          <w:sz w:val="24"/>
          <w:szCs w:val="24"/>
          <w:lang w:val="id-ID"/>
        </w:rPr>
        <w:t>Deskriptif Analisis Statisti</w:t>
      </w:r>
      <w:r w:rsidR="003E1C78">
        <w:rPr>
          <w:rFonts w:ascii="Times New Roman" w:eastAsia="Times New Roman" w:hAnsi="Times New Roman" w:cs="Times New Roman"/>
          <w:sz w:val="24"/>
          <w:szCs w:val="24"/>
          <w:lang w:val="id-ID"/>
        </w:rPr>
        <w:t>k</w:t>
      </w:r>
    </w:p>
    <w:p w14:paraId="6794D418" w14:textId="4D9D9658" w:rsidR="007E6381" w:rsidRDefault="007E6381" w:rsidP="003E1C78">
      <w:pPr>
        <w:pStyle w:val="NoSpacing"/>
        <w:spacing w:before="200" w:after="12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FDBBCF2" wp14:editId="6484AE79">
                <wp:simplePos x="0" y="0"/>
                <wp:positionH relativeFrom="column">
                  <wp:posOffset>-3143250</wp:posOffset>
                </wp:positionH>
                <wp:positionV relativeFrom="paragraph">
                  <wp:posOffset>2276475</wp:posOffset>
                </wp:positionV>
                <wp:extent cx="2371725" cy="2476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371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58D28" w14:textId="77777777" w:rsidR="007E6381" w:rsidRPr="003E1C78" w:rsidRDefault="007E6381" w:rsidP="007E6381">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BCF2" id="Text Box 8" o:spid="_x0000_s1027" type="#_x0000_t202" style="position:absolute;left:0;text-align:left;margin-left:-247.5pt;margin-top:179.25pt;width:186.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" fillcolor="white [3201]" stroked="f" strokeweight=".5pt">
                <v:textbox>
                  <w:txbxContent>
                    <w:p w14:paraId="71C58D28" w14:textId="77777777" w:rsidR="007E6381" w:rsidRPr="003E1C78" w:rsidRDefault="007E6381" w:rsidP="007E6381">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v:textbox>
              </v:shape>
            </w:pict>
          </mc:Fallback>
        </mc:AlternateContent>
      </w:r>
    </w:p>
    <w:p w14:paraId="1394023A" w14:textId="0BFB4343" w:rsidR="007E6381" w:rsidRDefault="007E6381" w:rsidP="007E6381">
      <w:pPr>
        <w:pStyle w:val="NoSpacing"/>
        <w:spacing w:before="200" w:after="12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lastRenderedPageBreak/>
        <mc:AlternateContent>
          <mc:Choice Requires="wps">
            <w:drawing>
              <wp:anchor distT="0" distB="0" distL="114300" distR="114300" simplePos="0" relativeHeight="251661312" behindDoc="0" locked="0" layoutInCell="1" allowOverlap="1" wp14:anchorId="3458BCF4" wp14:editId="006A8763">
                <wp:simplePos x="0" y="0"/>
                <wp:positionH relativeFrom="column">
                  <wp:posOffset>-3105150</wp:posOffset>
                </wp:positionH>
                <wp:positionV relativeFrom="paragraph">
                  <wp:posOffset>2648585</wp:posOffset>
                </wp:positionV>
                <wp:extent cx="2371725" cy="247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C6697" w14:textId="327F7B29" w:rsidR="003E1C78" w:rsidRPr="003E1C78" w:rsidRDefault="003E1C78" w:rsidP="003E1C78">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BCF4" id="Text Box 3" o:spid="_x0000_s1028" type="#_x0000_t202" style="position:absolute;left:0;text-align:left;margin-left:-244.5pt;margin-top:208.55pt;width:18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" fillcolor="white [3201]" stroked="f" strokeweight=".5pt">
                <v:textbox>
                  <w:txbxContent>
                    <w:p w14:paraId="5E1C6697" w14:textId="327F7B29" w:rsidR="003E1C78" w:rsidRPr="003E1C78" w:rsidRDefault="003E1C78" w:rsidP="003E1C78">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v:textbox>
              </v:shape>
            </w:pict>
          </mc:Fallback>
        </mc:AlternateContent>
      </w:r>
      <w:r w:rsidR="003E1C78" w:rsidRPr="003E1C78">
        <w:rPr>
          <w:rFonts w:ascii="Times New Roman" w:eastAsia="Times New Roman" w:hAnsi="Times New Roman" w:cs="Times New Roman"/>
          <w:sz w:val="24"/>
          <w:szCs w:val="24"/>
          <w:lang w:val="id-ID"/>
        </w:rPr>
        <w:t xml:space="preserve">Berdasarkan data statistik </w:t>
      </w:r>
      <w:r w:rsidR="00E46FC5">
        <w:rPr>
          <w:rFonts w:ascii="Times New Roman" w:eastAsia="Times New Roman" w:hAnsi="Times New Roman" w:cs="Times New Roman"/>
          <w:sz w:val="24"/>
          <w:szCs w:val="24"/>
          <w:lang w:val="id-ID"/>
        </w:rPr>
        <w:t>pada tabel 1</w:t>
      </w:r>
      <w:r w:rsidR="003E1C78" w:rsidRPr="003E1C78">
        <w:rPr>
          <w:rFonts w:ascii="Times New Roman" w:eastAsia="Times New Roman" w:hAnsi="Times New Roman" w:cs="Times New Roman"/>
          <w:sz w:val="24"/>
          <w:szCs w:val="24"/>
          <w:lang w:val="id-ID"/>
        </w:rPr>
        <w:t>, maka dapat dii</w:t>
      </w:r>
      <w:r>
        <w:rPr>
          <w:rFonts w:ascii="Times New Roman" w:eastAsia="Times New Roman" w:hAnsi="Times New Roman" w:cs="Times New Roman"/>
          <w:sz w:val="24"/>
          <w:szCs w:val="24"/>
          <w:lang w:val="id-ID"/>
        </w:rPr>
        <w:t>nterpretasikan sebagai berikut:</w:t>
      </w:r>
    </w:p>
    <w:p w14:paraId="32366B48" w14:textId="415006F4" w:rsidR="00E46FC5" w:rsidRDefault="003E1C78" w:rsidP="007E6381">
      <w:pPr>
        <w:pStyle w:val="NoSpacing"/>
        <w:spacing w:before="200" w:after="120" w:line="276" w:lineRule="auto"/>
        <w:ind w:firstLine="720"/>
        <w:jc w:val="both"/>
        <w:rPr>
          <w:rFonts w:ascii="Times New Roman" w:eastAsia="Times New Roman" w:hAnsi="Times New Roman" w:cs="Times New Roman"/>
          <w:sz w:val="24"/>
          <w:szCs w:val="24"/>
          <w:lang w:val="id-ID"/>
        </w:rPr>
      </w:pPr>
      <w:r w:rsidRPr="003E1C78">
        <w:rPr>
          <w:rFonts w:ascii="Times New Roman" w:eastAsia="Times New Roman" w:hAnsi="Times New Roman" w:cs="Times New Roman"/>
          <w:sz w:val="24"/>
          <w:szCs w:val="24"/>
          <w:lang w:val="id-ID"/>
        </w:rPr>
        <w:t>Dari hasil perhitungan yang telah dilakukan bahwa kebijakan pembayaran dividen</w:t>
      </w:r>
      <w:r w:rsidR="00E46FC5">
        <w:rPr>
          <w:rFonts w:ascii="Times New Roman" w:eastAsia="Times New Roman" w:hAnsi="Times New Roman" w:cs="Times New Roman"/>
          <w:sz w:val="24"/>
          <w:szCs w:val="24"/>
          <w:lang w:val="id-ID"/>
        </w:rPr>
        <w:t xml:space="preserve"> (DPOR)</w:t>
      </w:r>
      <w:r w:rsidRPr="003E1C78">
        <w:rPr>
          <w:rFonts w:ascii="Times New Roman" w:eastAsia="Times New Roman" w:hAnsi="Times New Roman" w:cs="Times New Roman"/>
          <w:sz w:val="24"/>
          <w:szCs w:val="24"/>
          <w:lang w:val="id-ID"/>
        </w:rPr>
        <w:t xml:space="preserve"> memiliki nilai rata-rata sebesar 0.313154 dengan standar deviasi 0.373692. Nilai maksimum kebijakan pembayaran dividen sebesar 2.683633 dimiliki oleh Bank Tabungan Negara pada tahun 2019 dan nilai minimum sebesar -0.04207 dimiliki oleh Bank Neo Commerce.</w:t>
      </w:r>
    </w:p>
    <w:p w14:paraId="71E66DEA" w14:textId="24D8CB0C"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sz w:val="24"/>
          <w:szCs w:val="24"/>
          <w:lang w:val="id-ID"/>
        </w:rPr>
        <w:t>Pembayaran dividen</w:t>
      </w:r>
      <w:r>
        <w:rPr>
          <w:rFonts w:ascii="Times New Roman" w:eastAsia="Times New Roman" w:hAnsi="Times New Roman" w:cs="Times New Roman"/>
          <w:sz w:val="24"/>
          <w:szCs w:val="24"/>
          <w:lang w:val="id-ID"/>
        </w:rPr>
        <w:t xml:space="preserve"> (PAYDIV)</w:t>
      </w:r>
      <w:r w:rsidRPr="00E46FC5">
        <w:rPr>
          <w:rFonts w:ascii="Times New Roman" w:eastAsia="Times New Roman" w:hAnsi="Times New Roman" w:cs="Times New Roman"/>
          <w:sz w:val="24"/>
          <w:szCs w:val="24"/>
          <w:lang w:val="id-ID"/>
        </w:rPr>
        <w:t xml:space="preserve"> memiliki nilai rata-rata sebesar 0.813725 dengan standar deviasi 0.391251. Nilai maksimum pembayaran dividen sebesar 1.0000 dan nilai minimum sebesar 0.000000.</w:t>
      </w:r>
    </w:p>
    <w:p w14:paraId="25AAFD75" w14:textId="781CA0D2"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i/>
          <w:sz w:val="24"/>
          <w:szCs w:val="24"/>
          <w:lang w:val="id-ID"/>
        </w:rPr>
        <w:t>Bank size</w:t>
      </w:r>
      <w:r>
        <w:rPr>
          <w:rFonts w:ascii="Times New Roman" w:eastAsia="Times New Roman" w:hAnsi="Times New Roman" w:cs="Times New Roman"/>
          <w:sz w:val="24"/>
          <w:szCs w:val="24"/>
          <w:lang w:val="id-ID"/>
        </w:rPr>
        <w:t xml:space="preserve"> (BS)</w:t>
      </w:r>
      <w:r w:rsidRPr="00E46FC5">
        <w:rPr>
          <w:rFonts w:ascii="Times New Roman" w:eastAsia="Times New Roman" w:hAnsi="Times New Roman" w:cs="Times New Roman"/>
          <w:sz w:val="24"/>
          <w:szCs w:val="24"/>
          <w:lang w:val="id-ID"/>
        </w:rPr>
        <w:t xml:space="preserve"> memiliki nilai rata-rata sebesar 20.07877 dengan standar deviasi sebesar 4.735228. Nilai maksimum ukuran bank sebesar 30.28142 dimiliki oleh Bank Danamon pada tahun 2020 dan nilai minimum sebesar 7.947911 dimiliki oleh Bank Pembangunan Daerah Jawa Barat dan Banten.</w:t>
      </w:r>
    </w:p>
    <w:p w14:paraId="023A7C9F" w14:textId="5EC6B81F"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i/>
          <w:sz w:val="24"/>
          <w:szCs w:val="24"/>
          <w:lang w:val="id-ID"/>
        </w:rPr>
        <w:t>Profitability</w:t>
      </w:r>
      <w:r>
        <w:rPr>
          <w:rFonts w:ascii="Times New Roman" w:eastAsia="Times New Roman" w:hAnsi="Times New Roman" w:cs="Times New Roman"/>
          <w:sz w:val="24"/>
          <w:szCs w:val="24"/>
          <w:lang w:val="id-ID"/>
        </w:rPr>
        <w:t xml:space="preserve"> (ROE)</w:t>
      </w:r>
      <w:r w:rsidRPr="00E46FC5">
        <w:rPr>
          <w:rFonts w:ascii="Times New Roman" w:eastAsia="Times New Roman" w:hAnsi="Times New Roman" w:cs="Times New Roman"/>
          <w:sz w:val="24"/>
          <w:szCs w:val="24"/>
          <w:lang w:val="id-ID"/>
        </w:rPr>
        <w:t xml:space="preserve"> memiliki nilai rata-rata sebesar 0.089023 dengan standar deviasi sebesar 0.073440. Nilai maksimum pengembalian atas aset sebesar 0.224621 dimiliki oleh Bank Rakyat Indonesia pada tahun 2015 dan nilai minimum sebesar -0.33609 dimiliki oleh Bank Permata pada tahun 2016.</w:t>
      </w:r>
    </w:p>
    <w:p w14:paraId="6C5844BE" w14:textId="64CB3CFE"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i/>
          <w:sz w:val="24"/>
          <w:szCs w:val="24"/>
          <w:lang w:val="id-ID"/>
        </w:rPr>
        <w:t>Capital adequacy ratio</w:t>
      </w:r>
      <w:r>
        <w:rPr>
          <w:rFonts w:ascii="Times New Roman" w:eastAsia="Times New Roman" w:hAnsi="Times New Roman" w:cs="Times New Roman"/>
          <w:sz w:val="24"/>
          <w:szCs w:val="24"/>
          <w:lang w:val="id-ID"/>
        </w:rPr>
        <w:t xml:space="preserve"> (E_TA)</w:t>
      </w:r>
      <w:r w:rsidRPr="00E46FC5">
        <w:rPr>
          <w:rFonts w:ascii="Times New Roman" w:eastAsia="Times New Roman" w:hAnsi="Times New Roman" w:cs="Times New Roman"/>
          <w:sz w:val="24"/>
          <w:szCs w:val="24"/>
          <w:lang w:val="id-ID"/>
        </w:rPr>
        <w:t xml:space="preserve"> memiliki nilai rata-rata sebesar 0.169897 dengan standar deviasi sebesar 0.105007. Nilai maksimum rasio kecukupan modal sebesar 0.2831445 dimiliki oleh Bank </w:t>
      </w:r>
      <w:r w:rsidRPr="00E46FC5">
        <w:rPr>
          <w:rFonts w:ascii="Times New Roman" w:eastAsia="Times New Roman" w:hAnsi="Times New Roman" w:cs="Times New Roman"/>
          <w:sz w:val="24"/>
          <w:szCs w:val="24"/>
          <w:lang w:val="id-ID"/>
        </w:rPr>
        <w:lastRenderedPageBreak/>
        <w:t>Permata pada tahun 2020 dan nilai minimum sebesar 0.055336 dimiliki oleh Bank Tabungan Negara pada tahun 2020.</w:t>
      </w:r>
    </w:p>
    <w:p w14:paraId="2ED1A9A7" w14:textId="26EC62A4"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i/>
          <w:sz w:val="24"/>
          <w:szCs w:val="24"/>
          <w:lang w:val="id-ID"/>
        </w:rPr>
        <w:t>Growth</w:t>
      </w:r>
      <w:r>
        <w:rPr>
          <w:rFonts w:ascii="Times New Roman" w:eastAsia="Times New Roman" w:hAnsi="Times New Roman" w:cs="Times New Roman"/>
          <w:sz w:val="24"/>
          <w:szCs w:val="24"/>
          <w:lang w:val="id-ID"/>
        </w:rPr>
        <w:t xml:space="preserve"> (GTA)</w:t>
      </w:r>
      <w:r w:rsidRPr="00E46FC5">
        <w:rPr>
          <w:rFonts w:ascii="Times New Roman" w:eastAsia="Times New Roman" w:hAnsi="Times New Roman" w:cs="Times New Roman"/>
          <w:sz w:val="24"/>
          <w:szCs w:val="24"/>
          <w:lang w:val="id-ID"/>
        </w:rPr>
        <w:t xml:space="preserve"> memiliki nilai rata-rata sebesar 0.220839 dengan standar deviasi sebesar 1.15163. Nilai maksimum pertumbuhan sebesar 11.69486 dimiliki oleh Bank Neo Commerce pada tahun 2015 dan nilai minimum sebesar -0.13411 dimiliki oleh Bank Permata pada tahun 2017.</w:t>
      </w:r>
    </w:p>
    <w:p w14:paraId="178215B6" w14:textId="17F2BE6C"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i/>
          <w:sz w:val="24"/>
          <w:szCs w:val="24"/>
          <w:lang w:val="id-ID"/>
        </w:rPr>
        <w:t>Liquidity</w:t>
      </w:r>
      <w:r>
        <w:rPr>
          <w:rFonts w:ascii="Times New Roman" w:eastAsia="Times New Roman" w:hAnsi="Times New Roman" w:cs="Times New Roman"/>
          <w:sz w:val="24"/>
          <w:szCs w:val="24"/>
          <w:lang w:val="id-ID"/>
        </w:rPr>
        <w:t xml:space="preserve"> (NL_TA) memiliki nilai rata-rata sebesar </w:t>
      </w:r>
      <w:r w:rsidRPr="00E46FC5">
        <w:rPr>
          <w:rFonts w:ascii="Times New Roman" w:eastAsia="Times New Roman" w:hAnsi="Times New Roman" w:cs="Times New Roman"/>
          <w:sz w:val="24"/>
          <w:szCs w:val="24"/>
          <w:lang w:val="id-ID"/>
        </w:rPr>
        <w:t>0.636667 dengan standar deviasi sebesar 0.117743. Nilai maksimum likuiditas sebesar 1.479275 dimiliki oleh Bank Central Asia pada tahun 2020 dan nilai minimum sebesar 0.393846 dimiliki oleh Bank Mega pada tahun 2016.</w:t>
      </w:r>
    </w:p>
    <w:p w14:paraId="7E26F189" w14:textId="2E8F33ED"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Credit risk (CR)</w:t>
      </w:r>
      <w:r w:rsidRPr="00E46FC5">
        <w:rPr>
          <w:rFonts w:ascii="Times New Roman" w:eastAsia="Times New Roman" w:hAnsi="Times New Roman" w:cs="Times New Roman"/>
          <w:sz w:val="24"/>
          <w:szCs w:val="24"/>
          <w:lang w:val="id-ID"/>
        </w:rPr>
        <w:t xml:space="preserve"> memiliki nilai rata-rata sebesar 0.030668 dengan standar deviasi sebesar 0.021431. Nilai maksimum rasio kredit sebesar 0.108978 dimiliki oleh Bank Permata pada tahun 2016 dan nilai minimum sebesar 0.000570 dimiliki oleh Bank Maspion pada tahun 2015.</w:t>
      </w:r>
    </w:p>
    <w:p w14:paraId="46C7E310" w14:textId="3D74DB3F" w:rsidR="00E46FC5"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i/>
          <w:sz w:val="24"/>
          <w:szCs w:val="24"/>
          <w:lang w:val="id-ID"/>
        </w:rPr>
        <w:t>Bank’s age</w:t>
      </w:r>
      <w:r>
        <w:rPr>
          <w:rFonts w:ascii="Times New Roman" w:eastAsia="Times New Roman" w:hAnsi="Times New Roman" w:cs="Times New Roman"/>
          <w:sz w:val="24"/>
          <w:szCs w:val="24"/>
          <w:lang w:val="id-ID"/>
        </w:rPr>
        <w:t xml:space="preserve"> (AGE)</w:t>
      </w:r>
      <w:r w:rsidRPr="00E46FC5">
        <w:rPr>
          <w:rFonts w:ascii="Times New Roman" w:eastAsia="Times New Roman" w:hAnsi="Times New Roman" w:cs="Times New Roman"/>
          <w:sz w:val="24"/>
          <w:szCs w:val="24"/>
          <w:lang w:val="id-ID"/>
        </w:rPr>
        <w:t xml:space="preserve"> memiliki nilai rata-rata sebesar 4.079211 dengan standar deviasi sebesar 0.454847. Nilai maksimum umur bank sebesar 4.836282 dimiliki oleh Bank Rakyat Indonesia pada tahun 2020 dan nilai minimum sebesar 2.833213 dimiliki oleh Bank Mandiri pada tahun 2015.</w:t>
      </w:r>
    </w:p>
    <w:p w14:paraId="6DF8A658" w14:textId="63CCBB42" w:rsidR="00E46FC5" w:rsidRDefault="00E46FC5" w:rsidP="00E46FC5">
      <w:pPr>
        <w:pStyle w:val="NoSpacing"/>
        <w:spacing w:before="200" w:after="12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PEMBAHASAN PENELITIAN</w:t>
      </w:r>
    </w:p>
    <w:p w14:paraId="0AFAD597" w14:textId="6F3467C1" w:rsidR="00E46FC5" w:rsidRDefault="00E46FC5" w:rsidP="00E46FC5">
      <w:pPr>
        <w:pStyle w:val="NoSpacing"/>
        <w:spacing w:before="200" w:after="120" w:line="276"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Uji T </w:t>
      </w:r>
    </w:p>
    <w:p w14:paraId="388E65C1" w14:textId="029ABD8B" w:rsidR="003C3544" w:rsidRDefault="00E46FC5" w:rsidP="00E46FC5">
      <w:pPr>
        <w:pStyle w:val="NoSpacing"/>
        <w:spacing w:before="200" w:after="120" w:line="276"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Regresi Tobit pada tabel 2 </w:t>
      </w:r>
      <w:r w:rsidRPr="00E46FC5">
        <w:rPr>
          <w:rFonts w:ascii="Times New Roman" w:eastAsia="Times New Roman" w:hAnsi="Times New Roman" w:cs="Times New Roman"/>
          <w:sz w:val="24"/>
          <w:szCs w:val="24"/>
          <w:lang w:val="id-ID"/>
        </w:rPr>
        <w:t xml:space="preserve">digunakan untuk menggambarkan hubungan antara variabel dependen dan </w:t>
      </w:r>
    </w:p>
    <w:p w14:paraId="242891CC" w14:textId="04AE5942" w:rsidR="003C3544" w:rsidRDefault="003C3544" w:rsidP="003C3544">
      <w:pPr>
        <w:pStyle w:val="NoSpacing"/>
        <w:spacing w:before="200" w:after="120" w:line="276"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lastRenderedPageBreak/>
        <mc:AlternateContent>
          <mc:Choice Requires="wps">
            <w:drawing>
              <wp:anchor distT="0" distB="0" distL="114300" distR="114300" simplePos="0" relativeHeight="251663360" behindDoc="0" locked="0" layoutInCell="1" allowOverlap="1" wp14:anchorId="4587EBA9" wp14:editId="1A8C3656">
                <wp:simplePos x="0" y="0"/>
                <wp:positionH relativeFrom="column">
                  <wp:posOffset>2143125</wp:posOffset>
                </wp:positionH>
                <wp:positionV relativeFrom="paragraph">
                  <wp:posOffset>-105410</wp:posOffset>
                </wp:positionV>
                <wp:extent cx="237172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371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50C38" w14:textId="309E2868" w:rsidR="00845B5F" w:rsidRPr="003E1C78" w:rsidRDefault="00845B5F" w:rsidP="00845B5F">
                            <w:pPr>
                              <w:rPr>
                                <w:rFonts w:ascii="Times New Roman" w:hAnsi="Times New Roman" w:cs="Times New Roman"/>
                                <w:b/>
                                <w:sz w:val="20"/>
                                <w:lang w:val="id-ID"/>
                              </w:rPr>
                            </w:pPr>
                            <w:r w:rsidRPr="003E1C78">
                              <w:rPr>
                                <w:rFonts w:ascii="Times New Roman" w:hAnsi="Times New Roman" w:cs="Times New Roman"/>
                                <w:b/>
                                <w:sz w:val="20"/>
                                <w:lang w:val="id-ID"/>
                              </w:rPr>
                              <w:t xml:space="preserve">Tabel </w:t>
                            </w:r>
                            <w:r>
                              <w:rPr>
                                <w:rFonts w:ascii="Times New Roman" w:hAnsi="Times New Roman" w:cs="Times New Roman"/>
                                <w:b/>
                                <w:sz w:val="20"/>
                                <w:lang w:val="id-ID"/>
                              </w:rPr>
                              <w:t>2 Hasil Uji Regresi Tobit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EBA9" id="Text Box 4" o:spid="_x0000_s1029" type="#_x0000_t202" style="position:absolute;left:0;text-align:left;margin-left:168.75pt;margin-top:-8.3pt;width:186.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" fillcolor="white [3201]" stroked="f" strokeweight=".5pt">
                <v:textbox>
                  <w:txbxContent>
                    <w:p w14:paraId="00050C38" w14:textId="309E2868" w:rsidR="00845B5F" w:rsidRPr="003E1C78" w:rsidRDefault="00845B5F" w:rsidP="00845B5F">
                      <w:pPr>
                        <w:rPr>
                          <w:rFonts w:ascii="Times New Roman" w:hAnsi="Times New Roman" w:cs="Times New Roman"/>
                          <w:b/>
                          <w:sz w:val="20"/>
                          <w:lang w:val="id-ID"/>
                        </w:rPr>
                      </w:pPr>
                      <w:r w:rsidRPr="003E1C78">
                        <w:rPr>
                          <w:rFonts w:ascii="Times New Roman" w:hAnsi="Times New Roman" w:cs="Times New Roman"/>
                          <w:b/>
                          <w:sz w:val="20"/>
                          <w:lang w:val="id-ID"/>
                        </w:rPr>
                        <w:t xml:space="preserve">Tabel </w:t>
                      </w:r>
                      <w:r>
                        <w:rPr>
                          <w:rFonts w:ascii="Times New Roman" w:hAnsi="Times New Roman" w:cs="Times New Roman"/>
                          <w:b/>
                          <w:sz w:val="20"/>
                          <w:lang w:val="id-ID"/>
                        </w:rPr>
                        <w:t>2 Hasil Uji Regresi Tobit</w:t>
                      </w:r>
                    </w:p>
                  </w:txbxContent>
                </v:textbox>
              </v:shape>
            </w:pict>
          </mc:Fallback>
        </mc:AlternateContent>
      </w:r>
    </w:p>
    <w:p w14:paraId="436E0F95" w14:textId="41993A25" w:rsidR="003C3544" w:rsidRDefault="003C3544" w:rsidP="003C3544">
      <w:pPr>
        <w:pStyle w:val="NoSpacing"/>
        <w:spacing w:before="200" w:after="120" w:line="276"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62422734" wp14:editId="33AF2CA1">
                <wp:simplePos x="0" y="0"/>
                <wp:positionH relativeFrom="column">
                  <wp:posOffset>2200275</wp:posOffset>
                </wp:positionH>
                <wp:positionV relativeFrom="paragraph">
                  <wp:posOffset>1948180</wp:posOffset>
                </wp:positionV>
                <wp:extent cx="2371725" cy="2476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371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DA6B1" w14:textId="04E01385" w:rsidR="003C3544" w:rsidRPr="003E1C78" w:rsidRDefault="003C3544" w:rsidP="003C3544">
                            <w:pPr>
                              <w:rPr>
                                <w:rFonts w:ascii="Times New Roman" w:hAnsi="Times New Roman" w:cs="Times New Roman"/>
                                <w:b/>
                                <w:sz w:val="20"/>
                                <w:lang w:val="id-ID"/>
                              </w:rPr>
                            </w:pPr>
                            <w:r w:rsidRPr="003E1C78">
                              <w:rPr>
                                <w:rFonts w:ascii="Times New Roman" w:hAnsi="Times New Roman" w:cs="Times New Roman"/>
                                <w:b/>
                                <w:sz w:val="20"/>
                                <w:lang w:val="id-ID"/>
                              </w:rPr>
                              <w:t xml:space="preserve">Tabel </w:t>
                            </w:r>
                            <w:r>
                              <w:rPr>
                                <w:rFonts w:ascii="Times New Roman" w:hAnsi="Times New Roman" w:cs="Times New Roman"/>
                                <w:b/>
                                <w:sz w:val="20"/>
                                <w:lang w:val="id-ID"/>
                              </w:rPr>
                              <w:t>3 Hasil Uji Regresi Logit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2734" id="Text Box 9" o:spid="_x0000_s1030" type="#_x0000_t202" style="position:absolute;left:0;text-align:left;margin-left:173.25pt;margin-top:153.4pt;width:186.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" fillcolor="white [3201]" stroked="f" strokeweight=".5pt">
                <v:textbox>
                  <w:txbxContent>
                    <w:p w14:paraId="22FDA6B1" w14:textId="04E01385" w:rsidR="003C3544" w:rsidRPr="003E1C78" w:rsidRDefault="003C3544" w:rsidP="003C3544">
                      <w:pPr>
                        <w:rPr>
                          <w:rFonts w:ascii="Times New Roman" w:hAnsi="Times New Roman" w:cs="Times New Roman"/>
                          <w:b/>
                          <w:sz w:val="20"/>
                          <w:lang w:val="id-ID"/>
                        </w:rPr>
                      </w:pPr>
                      <w:r w:rsidRPr="003E1C78">
                        <w:rPr>
                          <w:rFonts w:ascii="Times New Roman" w:hAnsi="Times New Roman" w:cs="Times New Roman"/>
                          <w:b/>
                          <w:sz w:val="20"/>
                          <w:lang w:val="id-ID"/>
                        </w:rPr>
                        <w:t xml:space="preserve">Tabel </w:t>
                      </w:r>
                      <w:r>
                        <w:rPr>
                          <w:rFonts w:ascii="Times New Roman" w:hAnsi="Times New Roman" w:cs="Times New Roman"/>
                          <w:b/>
                          <w:sz w:val="20"/>
                          <w:lang w:val="id-ID"/>
                        </w:rPr>
                        <w:t>3 Hasil Uji Regresi Logit</w:t>
                      </w:r>
                    </w:p>
                  </w:txbxContent>
                </v:textbox>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2B450F29" wp14:editId="3C057758">
                <wp:simplePos x="0" y="0"/>
                <wp:positionH relativeFrom="column">
                  <wp:posOffset>0</wp:posOffset>
                </wp:positionH>
                <wp:positionV relativeFrom="paragraph">
                  <wp:posOffset>1826260</wp:posOffset>
                </wp:positionV>
                <wp:extent cx="2371725" cy="247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71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72D94" w14:textId="77777777" w:rsidR="00845B5F" w:rsidRPr="003E1C78" w:rsidRDefault="00845B5F" w:rsidP="00845B5F">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0F29" id="Text Box 6" o:spid="_x0000_s1031" type="#_x0000_t202" style="position:absolute;left:0;text-align:left;margin-left:0;margin-top:143.8pt;width:186.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" fillcolor="white [3201]" stroked="f" strokeweight=".5pt">
                <v:textbox>
                  <w:txbxContent>
                    <w:p w14:paraId="2B172D94" w14:textId="77777777" w:rsidR="00845B5F" w:rsidRPr="003E1C78" w:rsidRDefault="00845B5F" w:rsidP="00845B5F">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v:textbox>
              </v:shape>
            </w:pict>
          </mc:Fallback>
        </mc:AlternateContent>
      </w:r>
    </w:p>
    <w:tbl>
      <w:tblPr>
        <w:tblpPr w:leftFromText="180" w:rightFromText="180" w:vertAnchor="text" w:horzAnchor="margin" w:tblpY="189"/>
        <w:tblW w:w="9320" w:type="dxa"/>
        <w:tblLook w:val="04A0" w:firstRow="1" w:lastRow="0" w:firstColumn="1" w:lastColumn="0" w:noHBand="0" w:noVBand="1"/>
      </w:tblPr>
      <w:tblGrid>
        <w:gridCol w:w="1960"/>
        <w:gridCol w:w="4280"/>
        <w:gridCol w:w="1300"/>
        <w:gridCol w:w="1780"/>
      </w:tblGrid>
      <w:tr w:rsidR="003C3544" w:rsidRPr="00A76E61" w14:paraId="7D4A4D65" w14:textId="77777777" w:rsidTr="003C3544">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7F25" w14:textId="77777777" w:rsidR="003C3544" w:rsidRPr="00A76E61" w:rsidRDefault="003C3544" w:rsidP="003C3544">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Variabel Independen</w:t>
            </w:r>
          </w:p>
        </w:tc>
        <w:tc>
          <w:tcPr>
            <w:tcW w:w="7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DE82BD" w14:textId="77777777" w:rsidR="003C3544" w:rsidRPr="00A76E61" w:rsidRDefault="003C3544" w:rsidP="003C3544">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Variabel Dependen</w:t>
            </w:r>
          </w:p>
        </w:tc>
      </w:tr>
      <w:tr w:rsidR="003C3544" w:rsidRPr="00A76E61" w14:paraId="135B280C" w14:textId="77777777" w:rsidTr="003C3544">
        <w:trPr>
          <w:trHeight w:val="25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2688197F" w14:textId="77777777" w:rsidR="003C3544" w:rsidRPr="00A76E61" w:rsidRDefault="003C3544" w:rsidP="003C3544">
            <w:pPr>
              <w:spacing w:after="0" w:line="240" w:lineRule="auto"/>
              <w:rPr>
                <w:rFonts w:ascii="Times New Roman" w:eastAsia="Times New Roman" w:hAnsi="Times New Roman" w:cs="Times New Roman"/>
                <w:b/>
                <w:bCs/>
                <w:color w:val="000000"/>
                <w:sz w:val="20"/>
                <w:szCs w:val="20"/>
                <w:lang w:val="id-ID" w:eastAsia="id-ID"/>
              </w:rPr>
            </w:pPr>
          </w:p>
        </w:tc>
        <w:tc>
          <w:tcPr>
            <w:tcW w:w="7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46F613" w14:textId="77777777" w:rsidR="003C3544" w:rsidRPr="00A76E61" w:rsidRDefault="003C3544" w:rsidP="003C3544">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PAYDIV</w:t>
            </w:r>
          </w:p>
        </w:tc>
      </w:tr>
      <w:tr w:rsidR="003C3544" w:rsidRPr="00A76E61" w14:paraId="3C5824AD" w14:textId="77777777" w:rsidTr="003C3544">
        <w:trPr>
          <w:trHeight w:val="25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2B1C127A" w14:textId="77777777" w:rsidR="003C3544" w:rsidRPr="00A76E61" w:rsidRDefault="003C3544" w:rsidP="003C3544">
            <w:pPr>
              <w:spacing w:after="0" w:line="240" w:lineRule="auto"/>
              <w:rPr>
                <w:rFonts w:ascii="Times New Roman" w:eastAsia="Times New Roman" w:hAnsi="Times New Roman" w:cs="Times New Roman"/>
                <w:b/>
                <w:bCs/>
                <w:color w:val="000000"/>
                <w:sz w:val="20"/>
                <w:szCs w:val="20"/>
                <w:lang w:val="id-ID" w:eastAsia="id-ID"/>
              </w:rPr>
            </w:pPr>
          </w:p>
        </w:tc>
        <w:tc>
          <w:tcPr>
            <w:tcW w:w="4280" w:type="dxa"/>
            <w:tcBorders>
              <w:top w:val="nil"/>
              <w:left w:val="nil"/>
              <w:bottom w:val="single" w:sz="4" w:space="0" w:color="auto"/>
              <w:right w:val="single" w:sz="4" w:space="0" w:color="auto"/>
            </w:tcBorders>
            <w:shd w:val="clear" w:color="auto" w:fill="auto"/>
            <w:noWrap/>
            <w:vAlign w:val="center"/>
            <w:hideMark/>
          </w:tcPr>
          <w:p w14:paraId="6EFD9C0C" w14:textId="77777777" w:rsidR="003C3544" w:rsidRPr="00A76E61" w:rsidRDefault="003C3544" w:rsidP="003C3544">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Koefisien</w:t>
            </w:r>
          </w:p>
        </w:tc>
        <w:tc>
          <w:tcPr>
            <w:tcW w:w="1300" w:type="dxa"/>
            <w:tcBorders>
              <w:top w:val="nil"/>
              <w:left w:val="nil"/>
              <w:bottom w:val="single" w:sz="4" w:space="0" w:color="auto"/>
              <w:right w:val="single" w:sz="4" w:space="0" w:color="auto"/>
            </w:tcBorders>
            <w:shd w:val="clear" w:color="auto" w:fill="auto"/>
            <w:noWrap/>
            <w:vAlign w:val="center"/>
            <w:hideMark/>
          </w:tcPr>
          <w:p w14:paraId="12586E60" w14:textId="77777777" w:rsidR="003C3544" w:rsidRPr="00A76E61" w:rsidRDefault="003C3544" w:rsidP="003C3544">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Probabilitas</w:t>
            </w:r>
          </w:p>
        </w:tc>
        <w:tc>
          <w:tcPr>
            <w:tcW w:w="1780" w:type="dxa"/>
            <w:tcBorders>
              <w:top w:val="nil"/>
              <w:left w:val="nil"/>
              <w:bottom w:val="single" w:sz="4" w:space="0" w:color="auto"/>
              <w:right w:val="single" w:sz="4" w:space="0" w:color="auto"/>
            </w:tcBorders>
            <w:shd w:val="clear" w:color="auto" w:fill="auto"/>
            <w:noWrap/>
            <w:vAlign w:val="center"/>
            <w:hideMark/>
          </w:tcPr>
          <w:p w14:paraId="658F0FA5" w14:textId="77777777" w:rsidR="003C3544" w:rsidRPr="00A76E61" w:rsidRDefault="003C3544" w:rsidP="003C3544">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Kesimpulan</w:t>
            </w:r>
          </w:p>
        </w:tc>
      </w:tr>
      <w:tr w:rsidR="003C3544" w:rsidRPr="00A76E61" w14:paraId="1B2763D5"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C83E4BB"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Konstanta</w:t>
            </w:r>
          </w:p>
        </w:tc>
        <w:tc>
          <w:tcPr>
            <w:tcW w:w="4280" w:type="dxa"/>
            <w:tcBorders>
              <w:top w:val="nil"/>
              <w:left w:val="nil"/>
              <w:bottom w:val="single" w:sz="4" w:space="0" w:color="auto"/>
              <w:right w:val="single" w:sz="4" w:space="0" w:color="auto"/>
            </w:tcBorders>
            <w:shd w:val="clear" w:color="auto" w:fill="auto"/>
            <w:vAlign w:val="center"/>
            <w:hideMark/>
          </w:tcPr>
          <w:p w14:paraId="0AEA9249"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1.419.861</w:t>
            </w:r>
          </w:p>
        </w:tc>
        <w:tc>
          <w:tcPr>
            <w:tcW w:w="1300" w:type="dxa"/>
            <w:tcBorders>
              <w:top w:val="nil"/>
              <w:left w:val="nil"/>
              <w:bottom w:val="single" w:sz="4" w:space="0" w:color="auto"/>
              <w:right w:val="single" w:sz="4" w:space="0" w:color="auto"/>
            </w:tcBorders>
            <w:shd w:val="clear" w:color="auto" w:fill="auto"/>
            <w:noWrap/>
            <w:vAlign w:val="bottom"/>
            <w:hideMark/>
          </w:tcPr>
          <w:p w14:paraId="63FA9E69" w14:textId="77777777" w:rsidR="003C3544" w:rsidRPr="00A76E61" w:rsidRDefault="003C3544" w:rsidP="003C3544">
            <w:pPr>
              <w:spacing w:after="0" w:line="240" w:lineRule="auto"/>
              <w:jc w:val="center"/>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 </w:t>
            </w:r>
          </w:p>
        </w:tc>
        <w:tc>
          <w:tcPr>
            <w:tcW w:w="1780" w:type="dxa"/>
            <w:tcBorders>
              <w:top w:val="nil"/>
              <w:left w:val="nil"/>
              <w:bottom w:val="single" w:sz="4" w:space="0" w:color="auto"/>
              <w:right w:val="single" w:sz="4" w:space="0" w:color="auto"/>
            </w:tcBorders>
            <w:shd w:val="clear" w:color="auto" w:fill="auto"/>
            <w:noWrap/>
            <w:vAlign w:val="bottom"/>
            <w:hideMark/>
          </w:tcPr>
          <w:p w14:paraId="209BFC36" w14:textId="77777777" w:rsidR="003C3544" w:rsidRPr="00A76E61" w:rsidRDefault="003C3544" w:rsidP="003C3544">
            <w:pPr>
              <w:spacing w:after="0" w:line="240" w:lineRule="auto"/>
              <w:jc w:val="center"/>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 </w:t>
            </w:r>
          </w:p>
        </w:tc>
      </w:tr>
      <w:tr w:rsidR="003C3544" w:rsidRPr="00A76E61" w14:paraId="42F5A452"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2DAF68"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Size</w:t>
            </w:r>
          </w:p>
        </w:tc>
        <w:tc>
          <w:tcPr>
            <w:tcW w:w="4280" w:type="dxa"/>
            <w:tcBorders>
              <w:top w:val="nil"/>
              <w:left w:val="nil"/>
              <w:bottom w:val="single" w:sz="4" w:space="0" w:color="auto"/>
              <w:right w:val="single" w:sz="4" w:space="0" w:color="auto"/>
            </w:tcBorders>
            <w:shd w:val="clear" w:color="auto" w:fill="auto"/>
            <w:vAlign w:val="center"/>
            <w:hideMark/>
          </w:tcPr>
          <w:p w14:paraId="60AEF821"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-0.012832</w:t>
            </w:r>
          </w:p>
        </w:tc>
        <w:tc>
          <w:tcPr>
            <w:tcW w:w="1300" w:type="dxa"/>
            <w:tcBorders>
              <w:top w:val="nil"/>
              <w:left w:val="nil"/>
              <w:bottom w:val="single" w:sz="4" w:space="0" w:color="auto"/>
              <w:right w:val="single" w:sz="4" w:space="0" w:color="auto"/>
            </w:tcBorders>
            <w:shd w:val="clear" w:color="auto" w:fill="auto"/>
            <w:vAlign w:val="center"/>
            <w:hideMark/>
          </w:tcPr>
          <w:p w14:paraId="3371F18A"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0.0821</w:t>
            </w:r>
          </w:p>
        </w:tc>
        <w:tc>
          <w:tcPr>
            <w:tcW w:w="1780" w:type="dxa"/>
            <w:tcBorders>
              <w:top w:val="nil"/>
              <w:left w:val="nil"/>
              <w:bottom w:val="single" w:sz="4" w:space="0" w:color="auto"/>
              <w:right w:val="single" w:sz="4" w:space="0" w:color="auto"/>
            </w:tcBorders>
            <w:shd w:val="clear" w:color="auto" w:fill="auto"/>
            <w:vAlign w:val="center"/>
            <w:hideMark/>
          </w:tcPr>
          <w:p w14:paraId="354C1606"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Tidak Signifikan</w:t>
            </w:r>
          </w:p>
        </w:tc>
      </w:tr>
      <w:tr w:rsidR="003C3544" w:rsidRPr="00A76E61" w14:paraId="3DCDC698"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ADA3D8"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ROE</w:t>
            </w:r>
          </w:p>
        </w:tc>
        <w:tc>
          <w:tcPr>
            <w:tcW w:w="4280" w:type="dxa"/>
            <w:tcBorders>
              <w:top w:val="nil"/>
              <w:left w:val="nil"/>
              <w:bottom w:val="single" w:sz="4" w:space="0" w:color="auto"/>
              <w:right w:val="single" w:sz="4" w:space="0" w:color="auto"/>
            </w:tcBorders>
            <w:shd w:val="clear" w:color="auto" w:fill="auto"/>
            <w:vAlign w:val="center"/>
            <w:hideMark/>
          </w:tcPr>
          <w:p w14:paraId="74738F4D"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0.527132</w:t>
            </w:r>
          </w:p>
        </w:tc>
        <w:tc>
          <w:tcPr>
            <w:tcW w:w="1300" w:type="dxa"/>
            <w:tcBorders>
              <w:top w:val="nil"/>
              <w:left w:val="nil"/>
              <w:bottom w:val="single" w:sz="4" w:space="0" w:color="auto"/>
              <w:right w:val="single" w:sz="4" w:space="0" w:color="auto"/>
            </w:tcBorders>
            <w:shd w:val="clear" w:color="auto" w:fill="auto"/>
            <w:vAlign w:val="center"/>
            <w:hideMark/>
          </w:tcPr>
          <w:p w14:paraId="104D6427"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0.3788</w:t>
            </w:r>
          </w:p>
        </w:tc>
        <w:tc>
          <w:tcPr>
            <w:tcW w:w="1780" w:type="dxa"/>
            <w:tcBorders>
              <w:top w:val="nil"/>
              <w:left w:val="nil"/>
              <w:bottom w:val="single" w:sz="4" w:space="0" w:color="auto"/>
              <w:right w:val="single" w:sz="4" w:space="0" w:color="auto"/>
            </w:tcBorders>
            <w:shd w:val="clear" w:color="auto" w:fill="auto"/>
            <w:vAlign w:val="center"/>
            <w:hideMark/>
          </w:tcPr>
          <w:p w14:paraId="0407E44B"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Tidak Signifikan</w:t>
            </w:r>
          </w:p>
        </w:tc>
      </w:tr>
      <w:tr w:rsidR="003C3544" w:rsidRPr="00A76E61" w14:paraId="721058E1"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489BA6"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E_TA</w:t>
            </w:r>
          </w:p>
        </w:tc>
        <w:tc>
          <w:tcPr>
            <w:tcW w:w="4280" w:type="dxa"/>
            <w:tcBorders>
              <w:top w:val="nil"/>
              <w:left w:val="nil"/>
              <w:bottom w:val="single" w:sz="4" w:space="0" w:color="auto"/>
              <w:right w:val="single" w:sz="4" w:space="0" w:color="auto"/>
            </w:tcBorders>
            <w:shd w:val="clear" w:color="auto" w:fill="auto"/>
            <w:vAlign w:val="center"/>
            <w:hideMark/>
          </w:tcPr>
          <w:p w14:paraId="6E87EE64"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-0.662057</w:t>
            </w:r>
          </w:p>
        </w:tc>
        <w:tc>
          <w:tcPr>
            <w:tcW w:w="1300" w:type="dxa"/>
            <w:tcBorders>
              <w:top w:val="nil"/>
              <w:left w:val="nil"/>
              <w:bottom w:val="single" w:sz="4" w:space="0" w:color="auto"/>
              <w:right w:val="single" w:sz="4" w:space="0" w:color="auto"/>
            </w:tcBorders>
            <w:shd w:val="clear" w:color="auto" w:fill="auto"/>
            <w:vAlign w:val="center"/>
            <w:hideMark/>
          </w:tcPr>
          <w:p w14:paraId="6FD17048"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0.0008</w:t>
            </w:r>
          </w:p>
        </w:tc>
        <w:tc>
          <w:tcPr>
            <w:tcW w:w="1780" w:type="dxa"/>
            <w:tcBorders>
              <w:top w:val="nil"/>
              <w:left w:val="nil"/>
              <w:bottom w:val="single" w:sz="4" w:space="0" w:color="auto"/>
              <w:right w:val="single" w:sz="4" w:space="0" w:color="auto"/>
            </w:tcBorders>
            <w:shd w:val="clear" w:color="auto" w:fill="auto"/>
            <w:vAlign w:val="center"/>
            <w:hideMark/>
          </w:tcPr>
          <w:p w14:paraId="50CD6108"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Negatif Signifikan</w:t>
            </w:r>
          </w:p>
        </w:tc>
      </w:tr>
      <w:tr w:rsidR="003C3544" w:rsidRPr="00A76E61" w14:paraId="1A61B3D3"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2E9BEE"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GTA</w:t>
            </w:r>
          </w:p>
        </w:tc>
        <w:tc>
          <w:tcPr>
            <w:tcW w:w="4280" w:type="dxa"/>
            <w:tcBorders>
              <w:top w:val="nil"/>
              <w:left w:val="nil"/>
              <w:bottom w:val="single" w:sz="4" w:space="0" w:color="auto"/>
              <w:right w:val="single" w:sz="4" w:space="0" w:color="auto"/>
            </w:tcBorders>
            <w:shd w:val="clear" w:color="auto" w:fill="auto"/>
            <w:vAlign w:val="center"/>
            <w:hideMark/>
          </w:tcPr>
          <w:p w14:paraId="2F2104C1"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0.014801</w:t>
            </w:r>
          </w:p>
        </w:tc>
        <w:tc>
          <w:tcPr>
            <w:tcW w:w="1300" w:type="dxa"/>
            <w:tcBorders>
              <w:top w:val="nil"/>
              <w:left w:val="nil"/>
              <w:bottom w:val="single" w:sz="4" w:space="0" w:color="auto"/>
              <w:right w:val="single" w:sz="4" w:space="0" w:color="auto"/>
            </w:tcBorders>
            <w:shd w:val="clear" w:color="auto" w:fill="auto"/>
            <w:vAlign w:val="center"/>
            <w:hideMark/>
          </w:tcPr>
          <w:p w14:paraId="20C02D5E"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0.0127</w:t>
            </w:r>
          </w:p>
        </w:tc>
        <w:tc>
          <w:tcPr>
            <w:tcW w:w="1780" w:type="dxa"/>
            <w:tcBorders>
              <w:top w:val="nil"/>
              <w:left w:val="nil"/>
              <w:bottom w:val="single" w:sz="4" w:space="0" w:color="auto"/>
              <w:right w:val="single" w:sz="4" w:space="0" w:color="auto"/>
            </w:tcBorders>
            <w:shd w:val="clear" w:color="auto" w:fill="auto"/>
            <w:vAlign w:val="center"/>
            <w:hideMark/>
          </w:tcPr>
          <w:p w14:paraId="07992D0B"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Positif Signifikan</w:t>
            </w:r>
          </w:p>
        </w:tc>
      </w:tr>
      <w:tr w:rsidR="003C3544" w:rsidRPr="00A76E61" w14:paraId="27537F15"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3C5B4D"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NL_TA</w:t>
            </w:r>
          </w:p>
        </w:tc>
        <w:tc>
          <w:tcPr>
            <w:tcW w:w="4280" w:type="dxa"/>
            <w:tcBorders>
              <w:top w:val="nil"/>
              <w:left w:val="nil"/>
              <w:bottom w:val="single" w:sz="4" w:space="0" w:color="auto"/>
              <w:right w:val="single" w:sz="4" w:space="0" w:color="auto"/>
            </w:tcBorders>
            <w:shd w:val="clear" w:color="auto" w:fill="auto"/>
            <w:vAlign w:val="center"/>
            <w:hideMark/>
          </w:tcPr>
          <w:p w14:paraId="738774E8"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0.029779</w:t>
            </w:r>
          </w:p>
        </w:tc>
        <w:tc>
          <w:tcPr>
            <w:tcW w:w="1300" w:type="dxa"/>
            <w:tcBorders>
              <w:top w:val="nil"/>
              <w:left w:val="nil"/>
              <w:bottom w:val="single" w:sz="4" w:space="0" w:color="auto"/>
              <w:right w:val="single" w:sz="4" w:space="0" w:color="auto"/>
            </w:tcBorders>
            <w:shd w:val="clear" w:color="auto" w:fill="auto"/>
            <w:vAlign w:val="center"/>
            <w:hideMark/>
          </w:tcPr>
          <w:p w14:paraId="2E9CE39D"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0.8800</w:t>
            </w:r>
          </w:p>
        </w:tc>
        <w:tc>
          <w:tcPr>
            <w:tcW w:w="1780" w:type="dxa"/>
            <w:tcBorders>
              <w:top w:val="nil"/>
              <w:left w:val="nil"/>
              <w:bottom w:val="single" w:sz="4" w:space="0" w:color="auto"/>
              <w:right w:val="single" w:sz="4" w:space="0" w:color="auto"/>
            </w:tcBorders>
            <w:shd w:val="clear" w:color="auto" w:fill="auto"/>
            <w:vAlign w:val="center"/>
            <w:hideMark/>
          </w:tcPr>
          <w:p w14:paraId="53D4D746"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Times New Roman" w:hAnsi="Times New Roman" w:cs="Times New Roman"/>
                <w:color w:val="000000"/>
                <w:sz w:val="20"/>
                <w:szCs w:val="20"/>
                <w:lang w:val="id-ID" w:eastAsia="id-ID"/>
              </w:rPr>
              <w:t>Tidak Signifikan</w:t>
            </w:r>
          </w:p>
        </w:tc>
      </w:tr>
      <w:tr w:rsidR="003C3544" w:rsidRPr="00A76E61" w14:paraId="19BC1C0A"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3F1CA0"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CR</w:t>
            </w:r>
          </w:p>
        </w:tc>
        <w:tc>
          <w:tcPr>
            <w:tcW w:w="4280" w:type="dxa"/>
            <w:tcBorders>
              <w:top w:val="nil"/>
              <w:left w:val="nil"/>
              <w:bottom w:val="single" w:sz="4" w:space="0" w:color="auto"/>
              <w:right w:val="single" w:sz="4" w:space="0" w:color="auto"/>
            </w:tcBorders>
            <w:shd w:val="clear" w:color="auto" w:fill="auto"/>
            <w:vAlign w:val="center"/>
            <w:hideMark/>
          </w:tcPr>
          <w:p w14:paraId="1539F15B"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-4.931.234</w:t>
            </w:r>
          </w:p>
        </w:tc>
        <w:tc>
          <w:tcPr>
            <w:tcW w:w="1300" w:type="dxa"/>
            <w:tcBorders>
              <w:top w:val="nil"/>
              <w:left w:val="nil"/>
              <w:bottom w:val="single" w:sz="4" w:space="0" w:color="auto"/>
              <w:right w:val="single" w:sz="4" w:space="0" w:color="auto"/>
            </w:tcBorders>
            <w:shd w:val="clear" w:color="auto" w:fill="auto"/>
            <w:vAlign w:val="center"/>
            <w:hideMark/>
          </w:tcPr>
          <w:p w14:paraId="6AECF19E"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0.0777</w:t>
            </w:r>
          </w:p>
        </w:tc>
        <w:tc>
          <w:tcPr>
            <w:tcW w:w="1780" w:type="dxa"/>
            <w:tcBorders>
              <w:top w:val="nil"/>
              <w:left w:val="nil"/>
              <w:bottom w:val="single" w:sz="4" w:space="0" w:color="auto"/>
              <w:right w:val="single" w:sz="4" w:space="0" w:color="auto"/>
            </w:tcBorders>
            <w:shd w:val="clear" w:color="auto" w:fill="auto"/>
            <w:vAlign w:val="center"/>
            <w:hideMark/>
          </w:tcPr>
          <w:p w14:paraId="1EFE3821"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Tidak Signifikan</w:t>
            </w:r>
          </w:p>
        </w:tc>
      </w:tr>
      <w:tr w:rsidR="003C3544" w:rsidRPr="00A76E61" w14:paraId="1F65A214" w14:textId="77777777" w:rsidTr="003C3544">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8C5B23" w14:textId="77777777" w:rsidR="003C3544" w:rsidRPr="00A76E61" w:rsidRDefault="003C3544" w:rsidP="003C3544">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AGE</w:t>
            </w:r>
          </w:p>
        </w:tc>
        <w:tc>
          <w:tcPr>
            <w:tcW w:w="4280" w:type="dxa"/>
            <w:tcBorders>
              <w:top w:val="nil"/>
              <w:left w:val="nil"/>
              <w:bottom w:val="single" w:sz="4" w:space="0" w:color="auto"/>
              <w:right w:val="single" w:sz="4" w:space="0" w:color="auto"/>
            </w:tcBorders>
            <w:shd w:val="clear" w:color="auto" w:fill="auto"/>
            <w:vAlign w:val="center"/>
            <w:hideMark/>
          </w:tcPr>
          <w:p w14:paraId="03912DB4"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-0.037732</w:t>
            </w:r>
          </w:p>
        </w:tc>
        <w:tc>
          <w:tcPr>
            <w:tcW w:w="1300" w:type="dxa"/>
            <w:tcBorders>
              <w:top w:val="nil"/>
              <w:left w:val="nil"/>
              <w:bottom w:val="single" w:sz="4" w:space="0" w:color="auto"/>
              <w:right w:val="single" w:sz="4" w:space="0" w:color="auto"/>
            </w:tcBorders>
            <w:shd w:val="clear" w:color="auto" w:fill="auto"/>
            <w:vAlign w:val="center"/>
            <w:hideMark/>
          </w:tcPr>
          <w:p w14:paraId="7392F9A6"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0.6885</w:t>
            </w:r>
          </w:p>
        </w:tc>
        <w:tc>
          <w:tcPr>
            <w:tcW w:w="1780" w:type="dxa"/>
            <w:tcBorders>
              <w:top w:val="nil"/>
              <w:left w:val="nil"/>
              <w:bottom w:val="single" w:sz="4" w:space="0" w:color="auto"/>
              <w:right w:val="single" w:sz="4" w:space="0" w:color="auto"/>
            </w:tcBorders>
            <w:shd w:val="clear" w:color="auto" w:fill="auto"/>
            <w:vAlign w:val="center"/>
            <w:hideMark/>
          </w:tcPr>
          <w:p w14:paraId="68805C66" w14:textId="77777777" w:rsidR="003C3544" w:rsidRPr="00A76E61" w:rsidRDefault="003C3544" w:rsidP="003C3544">
            <w:pPr>
              <w:spacing w:after="0" w:line="240" w:lineRule="auto"/>
              <w:jc w:val="center"/>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Tidak Signifikan</w:t>
            </w:r>
          </w:p>
        </w:tc>
      </w:tr>
    </w:tbl>
    <w:p w14:paraId="3F9D0439" w14:textId="77777777" w:rsidR="00DC7973" w:rsidRDefault="003C3544" w:rsidP="003C3544">
      <w:pPr>
        <w:pStyle w:val="NoSpacing"/>
        <w:spacing w:before="200" w:after="120" w:line="276"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7E293511" wp14:editId="0DE5B734">
                <wp:simplePos x="0" y="0"/>
                <wp:positionH relativeFrom="column">
                  <wp:posOffset>0</wp:posOffset>
                </wp:positionH>
                <wp:positionV relativeFrom="paragraph">
                  <wp:posOffset>1977390</wp:posOffset>
                </wp:positionV>
                <wp:extent cx="2371725" cy="2476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371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0AD83" w14:textId="77777777" w:rsidR="003C3544" w:rsidRPr="003E1C78" w:rsidRDefault="003C3544" w:rsidP="003C3544">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3511" id="Text Box 11" o:spid="_x0000_s1032" type="#_x0000_t202" style="position:absolute;left:0;text-align:left;margin-left:0;margin-top:155.7pt;width:186.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" fillcolor="white [3201]" stroked="f" strokeweight=".5pt">
                <v:textbox>
                  <w:txbxContent>
                    <w:p w14:paraId="1F50AD83" w14:textId="77777777" w:rsidR="003C3544" w:rsidRPr="003E1C78" w:rsidRDefault="003C3544" w:rsidP="003C3544">
                      <w:pPr>
                        <w:rPr>
                          <w:rFonts w:ascii="Times New Roman" w:hAnsi="Times New Roman" w:cs="Times New Roman"/>
                          <w:i/>
                          <w:sz w:val="20"/>
                          <w:lang w:val="id-ID"/>
                        </w:rPr>
                      </w:pPr>
                      <w:r w:rsidRPr="003E1C78">
                        <w:rPr>
                          <w:rFonts w:ascii="Times New Roman" w:hAnsi="Times New Roman" w:cs="Times New Roman"/>
                          <w:i/>
                          <w:sz w:val="20"/>
                          <w:lang w:val="id-ID"/>
                        </w:rPr>
                        <w:t>Sumber: olah data dari Eviews</w:t>
                      </w:r>
                    </w:p>
                  </w:txbxContent>
                </v:textbox>
              </v:shape>
            </w:pict>
          </mc:Fallback>
        </mc:AlternateContent>
      </w:r>
    </w:p>
    <w:p w14:paraId="487D5119" w14:textId="05B7E43D" w:rsidR="00E46FC5" w:rsidRDefault="00E46FC5" w:rsidP="003C3544">
      <w:pPr>
        <w:pStyle w:val="NoSpacing"/>
        <w:spacing w:before="200" w:after="120" w:line="276" w:lineRule="auto"/>
        <w:jc w:val="both"/>
        <w:rPr>
          <w:rFonts w:ascii="Times New Roman" w:eastAsia="Times New Roman" w:hAnsi="Times New Roman" w:cs="Times New Roman"/>
          <w:sz w:val="24"/>
          <w:szCs w:val="24"/>
          <w:lang w:val="id-ID"/>
        </w:rPr>
      </w:pPr>
      <w:r w:rsidRPr="00E46FC5">
        <w:rPr>
          <w:rFonts w:ascii="Times New Roman" w:eastAsia="Times New Roman" w:hAnsi="Times New Roman" w:cs="Times New Roman"/>
          <w:sz w:val="24"/>
          <w:szCs w:val="24"/>
          <w:lang w:val="id-ID"/>
        </w:rPr>
        <w:t>independen. Output dari model ini adalah untuk mengestimasi nilai rata-rata dari variabel dependen jika variabel indepennya diketahui.</w:t>
      </w:r>
    </w:p>
    <w:p w14:paraId="57D556CD" w14:textId="5078938C" w:rsidR="00A76E61" w:rsidRDefault="00E46FC5" w:rsidP="00A76E61">
      <w:pPr>
        <w:pStyle w:val="NoSpacing"/>
        <w:spacing w:before="200" w:after="120" w:line="276"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Regresi Logit pada tabel 3 </w:t>
      </w:r>
      <w:r w:rsidRPr="00E46FC5">
        <w:rPr>
          <w:rFonts w:ascii="Times New Roman" w:eastAsia="Times New Roman" w:hAnsi="Times New Roman" w:cs="Times New Roman"/>
          <w:sz w:val="24"/>
          <w:szCs w:val="24"/>
          <w:lang w:val="id-ID"/>
        </w:rPr>
        <w:t>digunakan untuk prediksi probabilitas atas kejadian suatu peristiwa dengan mencocokan data pada persamaan logit kurva logistic. Model ini adalah model linear umum yang digunakan untuk regresi binomial. Seperti analisis regresi lainnya, model ini juga menggunakan beberapa variabel predikto</w:t>
      </w:r>
      <w:r w:rsidR="003C3544">
        <w:rPr>
          <w:rFonts w:ascii="Times New Roman" w:eastAsia="Times New Roman" w:hAnsi="Times New Roman" w:cs="Times New Roman"/>
          <w:sz w:val="24"/>
          <w:szCs w:val="24"/>
          <w:lang w:val="id-ID"/>
        </w:rPr>
        <w:t xml:space="preserve">r baik numeric maupun kategori. Adapun kriteria dalam pengambilan keputusan berdasarkan kriteria yaitu nilai </w:t>
      </w:r>
      <w:r w:rsidR="003C3544" w:rsidRPr="00E46FC5">
        <w:rPr>
          <w:rFonts w:ascii="Times New Roman" w:eastAsia="Times New Roman" w:hAnsi="Times New Roman" w:cs="Times New Roman"/>
          <w:sz w:val="24"/>
          <w:szCs w:val="24"/>
          <w:lang w:val="id-ID"/>
        </w:rPr>
        <w:t>sig. &lt; 0,05</w:t>
      </w:r>
      <w:r w:rsidR="003C3544">
        <w:rPr>
          <w:rFonts w:ascii="Times New Roman" w:eastAsia="Times New Roman" w:hAnsi="Times New Roman" w:cs="Times New Roman"/>
          <w:sz w:val="24"/>
          <w:szCs w:val="24"/>
          <w:lang w:val="id-ID"/>
        </w:rPr>
        <w:t xml:space="preserve"> maka hipotesis diterima (koefisien regresi signifikan), yang artinya variabel independen memiliki pengaruh signifikan </w:t>
      </w:r>
    </w:p>
    <w:p w14:paraId="4AEC7D47" w14:textId="77777777" w:rsidR="003C3544" w:rsidRDefault="003C3544" w:rsidP="00A76E61">
      <w:pPr>
        <w:pStyle w:val="NoSpacing"/>
        <w:spacing w:before="200" w:after="120" w:line="276" w:lineRule="auto"/>
        <w:jc w:val="both"/>
        <w:rPr>
          <w:rFonts w:ascii="Times New Roman" w:eastAsia="Times New Roman" w:hAnsi="Times New Roman" w:cs="Times New Roman"/>
          <w:sz w:val="24"/>
          <w:szCs w:val="24"/>
          <w:lang w:val="id-ID"/>
        </w:rPr>
      </w:pPr>
    </w:p>
    <w:p w14:paraId="2E6FDC27" w14:textId="30806997" w:rsidR="00A76E61" w:rsidRDefault="00A76E61" w:rsidP="00A76E61">
      <w:pPr>
        <w:pStyle w:val="NoSpacing"/>
        <w:spacing w:before="200" w:after="120" w:line="276" w:lineRule="auto"/>
        <w:jc w:val="both"/>
        <w:rPr>
          <w:rFonts w:ascii="Times New Roman" w:eastAsia="Times New Roman" w:hAnsi="Times New Roman" w:cs="Times New Roman"/>
          <w:sz w:val="24"/>
          <w:szCs w:val="24"/>
          <w:lang w:val="id-ID"/>
        </w:rPr>
      </w:pPr>
    </w:p>
    <w:p w14:paraId="02D76701" w14:textId="77777777" w:rsidR="003C3544" w:rsidRDefault="003C3544" w:rsidP="00A76E61">
      <w:pPr>
        <w:pStyle w:val="NoSpacing"/>
        <w:spacing w:before="200" w:after="120" w:line="276" w:lineRule="auto"/>
        <w:jc w:val="both"/>
        <w:rPr>
          <w:rFonts w:ascii="Times New Roman" w:eastAsia="Times New Roman" w:hAnsi="Times New Roman" w:cs="Times New Roman"/>
          <w:sz w:val="24"/>
          <w:szCs w:val="24"/>
          <w:lang w:val="id-ID"/>
        </w:rPr>
      </w:pPr>
    </w:p>
    <w:p w14:paraId="2558C9AF" w14:textId="7ABBB05A" w:rsidR="00A76E61" w:rsidRPr="003C3544" w:rsidRDefault="00A76E61" w:rsidP="00A76E61">
      <w:pPr>
        <w:pStyle w:val="NoSpacing"/>
        <w:spacing w:before="200" w:after="120" w:line="276" w:lineRule="auto"/>
        <w:jc w:val="both"/>
        <w:rPr>
          <w:rFonts w:ascii="Times New Roman" w:eastAsia="Calibri" w:hAnsi="Times New Roman" w:cs="Times New Roman"/>
          <w:sz w:val="24"/>
          <w:szCs w:val="24"/>
        </w:rPr>
      </w:pPr>
      <w:r w:rsidRPr="00E46FC5">
        <w:rPr>
          <w:rFonts w:ascii="Times New Roman" w:eastAsia="Times New Roman" w:hAnsi="Times New Roman" w:cs="Times New Roman"/>
          <w:sz w:val="24"/>
          <w:szCs w:val="24"/>
          <w:lang w:val="id-ID"/>
        </w:rPr>
        <w:t>variabel dependen</w:t>
      </w:r>
      <w:r w:rsidR="003C3544">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Sedangkan </w:t>
      </w:r>
      <w:r>
        <w:rPr>
          <w:rFonts w:ascii="Times New Roman" w:eastAsia="Calibri" w:hAnsi="Times New Roman" w:cs="Times New Roman"/>
          <w:sz w:val="24"/>
          <w:szCs w:val="24"/>
        </w:rPr>
        <w:t>j</w:t>
      </w:r>
      <w:r w:rsidRPr="00120D3D">
        <w:rPr>
          <w:rFonts w:ascii="Times New Roman" w:eastAsia="Calibri" w:hAnsi="Times New Roman" w:cs="Times New Roman"/>
          <w:sz w:val="24"/>
          <w:szCs w:val="24"/>
        </w:rPr>
        <w:t>ika nilai sig. &gt; 0</w:t>
      </w:r>
      <w:proofErr w:type="gramStart"/>
      <w:r w:rsidRPr="00120D3D">
        <w:rPr>
          <w:rFonts w:ascii="Times New Roman" w:eastAsia="Calibri" w:hAnsi="Times New Roman" w:cs="Times New Roman"/>
          <w:sz w:val="24"/>
          <w:szCs w:val="24"/>
        </w:rPr>
        <w:t>,05</w:t>
      </w:r>
      <w:proofErr w:type="gramEnd"/>
      <w:r w:rsidRPr="00120D3D">
        <w:rPr>
          <w:rFonts w:ascii="Times New Roman" w:eastAsia="Calibri" w:hAnsi="Times New Roman" w:cs="Times New Roman"/>
          <w:sz w:val="24"/>
          <w:szCs w:val="24"/>
        </w:rPr>
        <w:t xml:space="preserve"> maka hipotesis ditolak (koefisien regresi tidak signifikan), yang artinya variabel </w:t>
      </w:r>
      <w:r>
        <w:rPr>
          <w:rFonts w:ascii="Times New Roman" w:eastAsia="Calibri" w:hAnsi="Times New Roman" w:cs="Times New Roman"/>
          <w:sz w:val="24"/>
          <w:szCs w:val="24"/>
          <w:lang w:val="id-ID"/>
        </w:rPr>
        <w:t xml:space="preserve">independen tidak memiliki pengaruh signifikan terhadap variabel dependen. </w:t>
      </w:r>
    </w:p>
    <w:tbl>
      <w:tblPr>
        <w:tblpPr w:leftFromText="180" w:rightFromText="180" w:vertAnchor="page" w:horzAnchor="margin" w:tblpY="1966"/>
        <w:tblW w:w="9320" w:type="dxa"/>
        <w:tblLook w:val="04A0" w:firstRow="1" w:lastRow="0" w:firstColumn="1" w:lastColumn="0" w:noHBand="0" w:noVBand="1"/>
      </w:tblPr>
      <w:tblGrid>
        <w:gridCol w:w="1960"/>
        <w:gridCol w:w="4280"/>
        <w:gridCol w:w="1300"/>
        <w:gridCol w:w="1780"/>
      </w:tblGrid>
      <w:tr w:rsidR="00A76E61" w:rsidRPr="00A76E61" w14:paraId="0903DAB6" w14:textId="77777777" w:rsidTr="00A76E61">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1125" w14:textId="77777777" w:rsidR="00A76E61" w:rsidRPr="00A76E61" w:rsidRDefault="00A76E61" w:rsidP="00A76E61">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Variabel Independen</w:t>
            </w:r>
          </w:p>
        </w:tc>
        <w:tc>
          <w:tcPr>
            <w:tcW w:w="7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2498BA" w14:textId="26FD29B8" w:rsidR="00A76E61" w:rsidRPr="00A76E61" w:rsidRDefault="00A76E61" w:rsidP="00A76E61">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Variabel Dependen</w:t>
            </w:r>
          </w:p>
        </w:tc>
      </w:tr>
      <w:tr w:rsidR="00A76E61" w:rsidRPr="00A76E61" w14:paraId="16130D5E" w14:textId="77777777" w:rsidTr="00A76E61">
        <w:trPr>
          <w:trHeight w:val="25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73EA2200" w14:textId="77777777" w:rsidR="00A76E61" w:rsidRPr="00A76E61" w:rsidRDefault="00A76E61" w:rsidP="00A76E61">
            <w:pPr>
              <w:spacing w:after="0" w:line="240" w:lineRule="auto"/>
              <w:rPr>
                <w:rFonts w:ascii="Times New Roman" w:eastAsia="Times New Roman" w:hAnsi="Times New Roman" w:cs="Times New Roman"/>
                <w:b/>
                <w:bCs/>
                <w:color w:val="000000"/>
                <w:sz w:val="20"/>
                <w:szCs w:val="20"/>
                <w:lang w:val="id-ID" w:eastAsia="id-ID"/>
              </w:rPr>
            </w:pPr>
          </w:p>
        </w:tc>
        <w:tc>
          <w:tcPr>
            <w:tcW w:w="7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274871" w14:textId="4CB11DD9" w:rsidR="00A76E61" w:rsidRPr="00A76E61" w:rsidRDefault="00A76E61" w:rsidP="00A76E61">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DPOR</w:t>
            </w:r>
          </w:p>
        </w:tc>
      </w:tr>
      <w:tr w:rsidR="00A76E61" w:rsidRPr="00A76E61" w14:paraId="2FBD63AF" w14:textId="77777777" w:rsidTr="00A76E61">
        <w:trPr>
          <w:trHeight w:val="25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73F47B6E" w14:textId="77777777" w:rsidR="00A76E61" w:rsidRPr="00A76E61" w:rsidRDefault="00A76E61" w:rsidP="00A76E61">
            <w:pPr>
              <w:spacing w:after="0" w:line="240" w:lineRule="auto"/>
              <w:rPr>
                <w:rFonts w:ascii="Times New Roman" w:eastAsia="Times New Roman" w:hAnsi="Times New Roman" w:cs="Times New Roman"/>
                <w:b/>
                <w:bCs/>
                <w:color w:val="000000"/>
                <w:sz w:val="20"/>
                <w:szCs w:val="20"/>
                <w:lang w:val="id-ID" w:eastAsia="id-ID"/>
              </w:rPr>
            </w:pPr>
          </w:p>
        </w:tc>
        <w:tc>
          <w:tcPr>
            <w:tcW w:w="4280" w:type="dxa"/>
            <w:tcBorders>
              <w:top w:val="nil"/>
              <w:left w:val="nil"/>
              <w:bottom w:val="single" w:sz="4" w:space="0" w:color="auto"/>
              <w:right w:val="single" w:sz="4" w:space="0" w:color="auto"/>
            </w:tcBorders>
            <w:shd w:val="clear" w:color="auto" w:fill="auto"/>
            <w:noWrap/>
            <w:vAlign w:val="center"/>
            <w:hideMark/>
          </w:tcPr>
          <w:p w14:paraId="05301237" w14:textId="525F42AB" w:rsidR="00A76E61" w:rsidRPr="00A76E61" w:rsidRDefault="00A76E61" w:rsidP="00A76E61">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Koefisien</w:t>
            </w:r>
          </w:p>
        </w:tc>
        <w:tc>
          <w:tcPr>
            <w:tcW w:w="1300" w:type="dxa"/>
            <w:tcBorders>
              <w:top w:val="nil"/>
              <w:left w:val="nil"/>
              <w:bottom w:val="single" w:sz="4" w:space="0" w:color="auto"/>
              <w:right w:val="single" w:sz="4" w:space="0" w:color="auto"/>
            </w:tcBorders>
            <w:shd w:val="clear" w:color="auto" w:fill="auto"/>
            <w:noWrap/>
            <w:vAlign w:val="center"/>
            <w:hideMark/>
          </w:tcPr>
          <w:p w14:paraId="20378726" w14:textId="77777777" w:rsidR="00A76E61" w:rsidRPr="00A76E61" w:rsidRDefault="00A76E61" w:rsidP="00A76E61">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Probabilitas</w:t>
            </w:r>
          </w:p>
        </w:tc>
        <w:tc>
          <w:tcPr>
            <w:tcW w:w="1780" w:type="dxa"/>
            <w:tcBorders>
              <w:top w:val="nil"/>
              <w:left w:val="nil"/>
              <w:bottom w:val="single" w:sz="4" w:space="0" w:color="auto"/>
              <w:right w:val="single" w:sz="4" w:space="0" w:color="auto"/>
            </w:tcBorders>
            <w:shd w:val="clear" w:color="auto" w:fill="auto"/>
            <w:noWrap/>
            <w:vAlign w:val="center"/>
            <w:hideMark/>
          </w:tcPr>
          <w:p w14:paraId="0D487501" w14:textId="77777777" w:rsidR="00A76E61" w:rsidRPr="00A76E61" w:rsidRDefault="00A76E61" w:rsidP="00A76E61">
            <w:pPr>
              <w:spacing w:after="0" w:line="240" w:lineRule="auto"/>
              <w:jc w:val="center"/>
              <w:rPr>
                <w:rFonts w:ascii="Times New Roman" w:eastAsia="Times New Roman" w:hAnsi="Times New Roman" w:cs="Times New Roman"/>
                <w:b/>
                <w:bCs/>
                <w:color w:val="000000"/>
                <w:sz w:val="20"/>
                <w:szCs w:val="20"/>
                <w:lang w:val="id-ID" w:eastAsia="id-ID"/>
              </w:rPr>
            </w:pPr>
            <w:r w:rsidRPr="00A76E61">
              <w:rPr>
                <w:rFonts w:ascii="Times New Roman" w:eastAsia="Times New Roman" w:hAnsi="Times New Roman" w:cs="Times New Roman"/>
                <w:b/>
                <w:bCs/>
                <w:color w:val="000000"/>
                <w:sz w:val="20"/>
                <w:szCs w:val="20"/>
                <w:lang w:val="id-ID" w:eastAsia="id-ID"/>
              </w:rPr>
              <w:t>Kesimpulan</w:t>
            </w:r>
          </w:p>
        </w:tc>
      </w:tr>
      <w:tr w:rsidR="00A76E61" w:rsidRPr="00A76E61" w14:paraId="52A988C0" w14:textId="77777777" w:rsidTr="00A76E61">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A5EC85"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Konstanta</w:t>
            </w:r>
          </w:p>
        </w:tc>
        <w:tc>
          <w:tcPr>
            <w:tcW w:w="4280" w:type="dxa"/>
            <w:tcBorders>
              <w:top w:val="nil"/>
              <w:left w:val="nil"/>
              <w:bottom w:val="single" w:sz="4" w:space="0" w:color="auto"/>
              <w:right w:val="single" w:sz="4" w:space="0" w:color="auto"/>
            </w:tcBorders>
            <w:shd w:val="clear" w:color="auto" w:fill="auto"/>
            <w:noWrap/>
            <w:vAlign w:val="bottom"/>
            <w:hideMark/>
          </w:tcPr>
          <w:p w14:paraId="6B6F69C7" w14:textId="23114247" w:rsidR="00A76E61" w:rsidRPr="00A76E61" w:rsidRDefault="00A76E61" w:rsidP="00A76E61">
            <w:pPr>
              <w:spacing w:after="0" w:line="240" w:lineRule="auto"/>
              <w:jc w:val="right"/>
              <w:rPr>
                <w:rFonts w:ascii="Times New Roman" w:eastAsia="Times New Roman" w:hAnsi="Times New Roman" w:cs="Times New Roman"/>
                <w:color w:val="000000"/>
                <w:sz w:val="20"/>
                <w:szCs w:val="20"/>
                <w:lang w:val="id-ID" w:eastAsia="id-ID"/>
              </w:rPr>
            </w:pPr>
            <w:r w:rsidRPr="00A76E61">
              <w:rPr>
                <w:rFonts w:ascii="Times New Roman" w:eastAsia="Times New Roman" w:hAnsi="Times New Roman" w:cs="Times New Roman"/>
                <w:color w:val="000000"/>
                <w:sz w:val="20"/>
                <w:szCs w:val="20"/>
                <w:lang w:eastAsia="id-ID"/>
              </w:rPr>
              <w:t>-4,789528</w:t>
            </w:r>
          </w:p>
        </w:tc>
        <w:tc>
          <w:tcPr>
            <w:tcW w:w="1300" w:type="dxa"/>
            <w:tcBorders>
              <w:top w:val="nil"/>
              <w:left w:val="nil"/>
              <w:bottom w:val="single" w:sz="4" w:space="0" w:color="auto"/>
              <w:right w:val="single" w:sz="4" w:space="0" w:color="auto"/>
            </w:tcBorders>
            <w:shd w:val="clear" w:color="auto" w:fill="auto"/>
            <w:noWrap/>
            <w:vAlign w:val="bottom"/>
            <w:hideMark/>
          </w:tcPr>
          <w:p w14:paraId="2C39F1BA" w14:textId="4FC6244F"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 </w:t>
            </w:r>
          </w:p>
        </w:tc>
        <w:tc>
          <w:tcPr>
            <w:tcW w:w="1780" w:type="dxa"/>
            <w:tcBorders>
              <w:top w:val="nil"/>
              <w:left w:val="nil"/>
              <w:bottom w:val="single" w:sz="4" w:space="0" w:color="auto"/>
              <w:right w:val="single" w:sz="4" w:space="0" w:color="auto"/>
            </w:tcBorders>
            <w:shd w:val="clear" w:color="auto" w:fill="auto"/>
            <w:noWrap/>
            <w:vAlign w:val="bottom"/>
            <w:hideMark/>
          </w:tcPr>
          <w:p w14:paraId="45FB3EEB"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 </w:t>
            </w:r>
          </w:p>
        </w:tc>
      </w:tr>
      <w:tr w:rsidR="00A76E61" w:rsidRPr="00A76E61" w14:paraId="5704290D" w14:textId="77777777" w:rsidTr="00A76E61">
        <w:trPr>
          <w:trHeight w:val="27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EFFD40"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Size</w:t>
            </w:r>
          </w:p>
        </w:tc>
        <w:tc>
          <w:tcPr>
            <w:tcW w:w="4280" w:type="dxa"/>
            <w:tcBorders>
              <w:top w:val="nil"/>
              <w:left w:val="nil"/>
              <w:bottom w:val="single" w:sz="4" w:space="0" w:color="auto"/>
              <w:right w:val="single" w:sz="4" w:space="0" w:color="auto"/>
            </w:tcBorders>
            <w:shd w:val="clear" w:color="auto" w:fill="auto"/>
            <w:vAlign w:val="center"/>
            <w:hideMark/>
          </w:tcPr>
          <w:p w14:paraId="2DD34F60"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-0.246645</w:t>
            </w:r>
          </w:p>
        </w:tc>
        <w:tc>
          <w:tcPr>
            <w:tcW w:w="1300" w:type="dxa"/>
            <w:tcBorders>
              <w:top w:val="nil"/>
              <w:left w:val="nil"/>
              <w:bottom w:val="single" w:sz="4" w:space="0" w:color="auto"/>
              <w:right w:val="single" w:sz="4" w:space="0" w:color="auto"/>
            </w:tcBorders>
            <w:shd w:val="clear" w:color="auto" w:fill="auto"/>
            <w:vAlign w:val="center"/>
            <w:hideMark/>
          </w:tcPr>
          <w:p w14:paraId="1E98E886"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0.0414</w:t>
            </w:r>
          </w:p>
        </w:tc>
        <w:tc>
          <w:tcPr>
            <w:tcW w:w="1780" w:type="dxa"/>
            <w:tcBorders>
              <w:top w:val="nil"/>
              <w:left w:val="nil"/>
              <w:bottom w:val="single" w:sz="4" w:space="0" w:color="auto"/>
              <w:right w:val="single" w:sz="4" w:space="0" w:color="auto"/>
            </w:tcBorders>
            <w:shd w:val="clear" w:color="auto" w:fill="auto"/>
            <w:vAlign w:val="center"/>
            <w:hideMark/>
          </w:tcPr>
          <w:p w14:paraId="6B1D1D91"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Negatif Signifikan</w:t>
            </w:r>
          </w:p>
        </w:tc>
      </w:tr>
      <w:tr w:rsidR="00A76E61" w:rsidRPr="00A76E61" w14:paraId="19B54F2C" w14:textId="77777777" w:rsidTr="00A76E61">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A7CEC8"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ROE</w:t>
            </w:r>
          </w:p>
        </w:tc>
        <w:tc>
          <w:tcPr>
            <w:tcW w:w="4280" w:type="dxa"/>
            <w:tcBorders>
              <w:top w:val="nil"/>
              <w:left w:val="nil"/>
              <w:bottom w:val="single" w:sz="4" w:space="0" w:color="auto"/>
              <w:right w:val="single" w:sz="4" w:space="0" w:color="auto"/>
            </w:tcBorders>
            <w:shd w:val="clear" w:color="auto" w:fill="auto"/>
            <w:vAlign w:val="center"/>
            <w:hideMark/>
          </w:tcPr>
          <w:p w14:paraId="21B4C08D" w14:textId="73177FBA"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-1.375.126</w:t>
            </w:r>
          </w:p>
        </w:tc>
        <w:tc>
          <w:tcPr>
            <w:tcW w:w="1300" w:type="dxa"/>
            <w:tcBorders>
              <w:top w:val="nil"/>
              <w:left w:val="nil"/>
              <w:bottom w:val="single" w:sz="4" w:space="0" w:color="auto"/>
              <w:right w:val="single" w:sz="4" w:space="0" w:color="auto"/>
            </w:tcBorders>
            <w:shd w:val="clear" w:color="auto" w:fill="auto"/>
            <w:vAlign w:val="center"/>
            <w:hideMark/>
          </w:tcPr>
          <w:p w14:paraId="2E4B984C"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0.0211</w:t>
            </w:r>
          </w:p>
        </w:tc>
        <w:tc>
          <w:tcPr>
            <w:tcW w:w="1780" w:type="dxa"/>
            <w:tcBorders>
              <w:top w:val="nil"/>
              <w:left w:val="nil"/>
              <w:bottom w:val="single" w:sz="4" w:space="0" w:color="auto"/>
              <w:right w:val="single" w:sz="4" w:space="0" w:color="auto"/>
            </w:tcBorders>
            <w:shd w:val="clear" w:color="auto" w:fill="auto"/>
            <w:vAlign w:val="center"/>
            <w:hideMark/>
          </w:tcPr>
          <w:p w14:paraId="251E627E"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Negatif Signifikan</w:t>
            </w:r>
          </w:p>
        </w:tc>
      </w:tr>
      <w:tr w:rsidR="00A76E61" w:rsidRPr="00A76E61" w14:paraId="10770967" w14:textId="77777777" w:rsidTr="00A76E61">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BAB04D4"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E_TA</w:t>
            </w:r>
          </w:p>
        </w:tc>
        <w:tc>
          <w:tcPr>
            <w:tcW w:w="4280" w:type="dxa"/>
            <w:tcBorders>
              <w:top w:val="nil"/>
              <w:left w:val="nil"/>
              <w:bottom w:val="single" w:sz="4" w:space="0" w:color="auto"/>
              <w:right w:val="single" w:sz="4" w:space="0" w:color="auto"/>
            </w:tcBorders>
            <w:shd w:val="clear" w:color="auto" w:fill="auto"/>
            <w:vAlign w:val="center"/>
            <w:hideMark/>
          </w:tcPr>
          <w:p w14:paraId="4AE51B8C" w14:textId="24428D82"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-0.166737</w:t>
            </w:r>
          </w:p>
        </w:tc>
        <w:tc>
          <w:tcPr>
            <w:tcW w:w="1300" w:type="dxa"/>
            <w:tcBorders>
              <w:top w:val="nil"/>
              <w:left w:val="nil"/>
              <w:bottom w:val="single" w:sz="4" w:space="0" w:color="auto"/>
              <w:right w:val="single" w:sz="4" w:space="0" w:color="auto"/>
            </w:tcBorders>
            <w:shd w:val="clear" w:color="auto" w:fill="auto"/>
            <w:vAlign w:val="center"/>
            <w:hideMark/>
          </w:tcPr>
          <w:p w14:paraId="525E9E3A"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0.7177</w:t>
            </w:r>
          </w:p>
        </w:tc>
        <w:tc>
          <w:tcPr>
            <w:tcW w:w="1780" w:type="dxa"/>
            <w:tcBorders>
              <w:top w:val="nil"/>
              <w:left w:val="nil"/>
              <w:bottom w:val="single" w:sz="4" w:space="0" w:color="auto"/>
              <w:right w:val="single" w:sz="4" w:space="0" w:color="auto"/>
            </w:tcBorders>
            <w:shd w:val="clear" w:color="auto" w:fill="auto"/>
            <w:vAlign w:val="center"/>
            <w:hideMark/>
          </w:tcPr>
          <w:p w14:paraId="12E90525"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Tidak Signifikan</w:t>
            </w:r>
          </w:p>
        </w:tc>
      </w:tr>
      <w:tr w:rsidR="00A76E61" w:rsidRPr="00A76E61" w14:paraId="6D3F88B3" w14:textId="77777777" w:rsidTr="00A76E61">
        <w:trPr>
          <w:trHeight w:val="27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B0674B"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GTA</w:t>
            </w:r>
          </w:p>
        </w:tc>
        <w:tc>
          <w:tcPr>
            <w:tcW w:w="4280" w:type="dxa"/>
            <w:tcBorders>
              <w:top w:val="nil"/>
              <w:left w:val="nil"/>
              <w:bottom w:val="single" w:sz="4" w:space="0" w:color="auto"/>
              <w:right w:val="single" w:sz="4" w:space="0" w:color="auto"/>
            </w:tcBorders>
            <w:shd w:val="clear" w:color="auto" w:fill="auto"/>
            <w:vAlign w:val="center"/>
            <w:hideMark/>
          </w:tcPr>
          <w:p w14:paraId="27778EE6"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0.020569</w:t>
            </w:r>
          </w:p>
        </w:tc>
        <w:tc>
          <w:tcPr>
            <w:tcW w:w="1300" w:type="dxa"/>
            <w:tcBorders>
              <w:top w:val="nil"/>
              <w:left w:val="nil"/>
              <w:bottom w:val="single" w:sz="4" w:space="0" w:color="auto"/>
              <w:right w:val="single" w:sz="4" w:space="0" w:color="auto"/>
            </w:tcBorders>
            <w:shd w:val="clear" w:color="auto" w:fill="auto"/>
            <w:vAlign w:val="center"/>
            <w:hideMark/>
          </w:tcPr>
          <w:p w14:paraId="30B1E18D"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0.4312</w:t>
            </w:r>
          </w:p>
        </w:tc>
        <w:tc>
          <w:tcPr>
            <w:tcW w:w="1780" w:type="dxa"/>
            <w:tcBorders>
              <w:top w:val="nil"/>
              <w:left w:val="nil"/>
              <w:bottom w:val="single" w:sz="4" w:space="0" w:color="auto"/>
              <w:right w:val="single" w:sz="4" w:space="0" w:color="auto"/>
            </w:tcBorders>
            <w:shd w:val="clear" w:color="auto" w:fill="auto"/>
            <w:vAlign w:val="center"/>
            <w:hideMark/>
          </w:tcPr>
          <w:p w14:paraId="3326A974"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Tidak Signifikan</w:t>
            </w:r>
          </w:p>
        </w:tc>
      </w:tr>
      <w:tr w:rsidR="00A76E61" w:rsidRPr="00A76E61" w14:paraId="4642442B" w14:textId="77777777" w:rsidTr="00A76E61">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6C38C2"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NL_TA</w:t>
            </w:r>
          </w:p>
        </w:tc>
        <w:tc>
          <w:tcPr>
            <w:tcW w:w="4280" w:type="dxa"/>
            <w:tcBorders>
              <w:top w:val="nil"/>
              <w:left w:val="nil"/>
              <w:bottom w:val="single" w:sz="4" w:space="0" w:color="auto"/>
              <w:right w:val="single" w:sz="4" w:space="0" w:color="auto"/>
            </w:tcBorders>
            <w:shd w:val="clear" w:color="auto" w:fill="auto"/>
            <w:vAlign w:val="center"/>
            <w:hideMark/>
          </w:tcPr>
          <w:p w14:paraId="07CA3C87" w14:textId="75047533"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0.196025</w:t>
            </w:r>
          </w:p>
        </w:tc>
        <w:tc>
          <w:tcPr>
            <w:tcW w:w="1300" w:type="dxa"/>
            <w:tcBorders>
              <w:top w:val="nil"/>
              <w:left w:val="nil"/>
              <w:bottom w:val="single" w:sz="4" w:space="0" w:color="auto"/>
              <w:right w:val="single" w:sz="4" w:space="0" w:color="auto"/>
            </w:tcBorders>
            <w:shd w:val="clear" w:color="auto" w:fill="auto"/>
            <w:vAlign w:val="center"/>
            <w:hideMark/>
          </w:tcPr>
          <w:p w14:paraId="7480B68B"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0.0427</w:t>
            </w:r>
          </w:p>
        </w:tc>
        <w:tc>
          <w:tcPr>
            <w:tcW w:w="1780" w:type="dxa"/>
            <w:tcBorders>
              <w:top w:val="nil"/>
              <w:left w:val="nil"/>
              <w:bottom w:val="single" w:sz="4" w:space="0" w:color="auto"/>
              <w:right w:val="single" w:sz="4" w:space="0" w:color="auto"/>
            </w:tcBorders>
            <w:shd w:val="clear" w:color="auto" w:fill="auto"/>
            <w:vAlign w:val="center"/>
            <w:hideMark/>
          </w:tcPr>
          <w:p w14:paraId="08E7F8D9"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Positif Signifikan</w:t>
            </w:r>
          </w:p>
        </w:tc>
      </w:tr>
      <w:tr w:rsidR="00A76E61" w:rsidRPr="00A76E61" w14:paraId="5DFC6530" w14:textId="77777777" w:rsidTr="00A76E61">
        <w:trPr>
          <w:trHeight w:val="27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3E0D52"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CR</w:t>
            </w:r>
          </w:p>
        </w:tc>
        <w:tc>
          <w:tcPr>
            <w:tcW w:w="4280" w:type="dxa"/>
            <w:tcBorders>
              <w:top w:val="nil"/>
              <w:left w:val="nil"/>
              <w:bottom w:val="single" w:sz="4" w:space="0" w:color="auto"/>
              <w:right w:val="single" w:sz="4" w:space="0" w:color="auto"/>
            </w:tcBorders>
            <w:shd w:val="clear" w:color="auto" w:fill="auto"/>
            <w:vAlign w:val="center"/>
            <w:hideMark/>
          </w:tcPr>
          <w:p w14:paraId="2291EB9E" w14:textId="53CD5D0F"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-0.511646</w:t>
            </w:r>
          </w:p>
        </w:tc>
        <w:tc>
          <w:tcPr>
            <w:tcW w:w="1300" w:type="dxa"/>
            <w:tcBorders>
              <w:top w:val="nil"/>
              <w:left w:val="nil"/>
              <w:bottom w:val="single" w:sz="4" w:space="0" w:color="auto"/>
              <w:right w:val="single" w:sz="4" w:space="0" w:color="auto"/>
            </w:tcBorders>
            <w:shd w:val="clear" w:color="auto" w:fill="auto"/>
            <w:vAlign w:val="center"/>
            <w:hideMark/>
          </w:tcPr>
          <w:p w14:paraId="5308C45E"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0.5557</w:t>
            </w:r>
          </w:p>
        </w:tc>
        <w:tc>
          <w:tcPr>
            <w:tcW w:w="1780" w:type="dxa"/>
            <w:tcBorders>
              <w:top w:val="nil"/>
              <w:left w:val="nil"/>
              <w:bottom w:val="single" w:sz="4" w:space="0" w:color="auto"/>
              <w:right w:val="single" w:sz="4" w:space="0" w:color="auto"/>
            </w:tcBorders>
            <w:shd w:val="clear" w:color="auto" w:fill="auto"/>
            <w:vAlign w:val="center"/>
            <w:hideMark/>
          </w:tcPr>
          <w:p w14:paraId="12623E4A"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Tidak Signifikan</w:t>
            </w:r>
          </w:p>
        </w:tc>
      </w:tr>
      <w:tr w:rsidR="00A76E61" w:rsidRPr="00A76E61" w14:paraId="448A923E" w14:textId="77777777" w:rsidTr="00A76E61">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C2C724" w14:textId="77777777" w:rsidR="00A76E61" w:rsidRPr="00A76E61" w:rsidRDefault="00A76E61" w:rsidP="00A76E61">
            <w:pPr>
              <w:spacing w:after="0" w:line="240" w:lineRule="auto"/>
              <w:rPr>
                <w:rFonts w:ascii="Arial" w:eastAsia="Times New Roman" w:hAnsi="Arial" w:cs="Arial"/>
                <w:color w:val="000000"/>
                <w:sz w:val="20"/>
                <w:szCs w:val="20"/>
                <w:lang w:val="id-ID" w:eastAsia="id-ID"/>
              </w:rPr>
            </w:pPr>
            <w:r w:rsidRPr="00A76E61">
              <w:rPr>
                <w:rFonts w:ascii="Arial" w:eastAsia="Times New Roman" w:hAnsi="Arial" w:cs="Arial"/>
                <w:color w:val="000000"/>
                <w:sz w:val="20"/>
                <w:szCs w:val="20"/>
                <w:lang w:val="id-ID" w:eastAsia="id-ID"/>
              </w:rPr>
              <w:t>AGE</w:t>
            </w:r>
          </w:p>
        </w:tc>
        <w:tc>
          <w:tcPr>
            <w:tcW w:w="4280" w:type="dxa"/>
            <w:tcBorders>
              <w:top w:val="nil"/>
              <w:left w:val="nil"/>
              <w:bottom w:val="single" w:sz="4" w:space="0" w:color="auto"/>
              <w:right w:val="single" w:sz="4" w:space="0" w:color="auto"/>
            </w:tcBorders>
            <w:shd w:val="clear" w:color="auto" w:fill="auto"/>
            <w:vAlign w:val="center"/>
            <w:hideMark/>
          </w:tcPr>
          <w:p w14:paraId="695E8EB6" w14:textId="1FB01819"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2.474.030</w:t>
            </w:r>
          </w:p>
        </w:tc>
        <w:tc>
          <w:tcPr>
            <w:tcW w:w="1300" w:type="dxa"/>
            <w:tcBorders>
              <w:top w:val="nil"/>
              <w:left w:val="nil"/>
              <w:bottom w:val="single" w:sz="4" w:space="0" w:color="auto"/>
              <w:right w:val="single" w:sz="4" w:space="0" w:color="auto"/>
            </w:tcBorders>
            <w:shd w:val="clear" w:color="auto" w:fill="auto"/>
            <w:vAlign w:val="center"/>
            <w:hideMark/>
          </w:tcPr>
          <w:p w14:paraId="6B95C5C4"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0.0004</w:t>
            </w:r>
          </w:p>
        </w:tc>
        <w:tc>
          <w:tcPr>
            <w:tcW w:w="1780" w:type="dxa"/>
            <w:tcBorders>
              <w:top w:val="nil"/>
              <w:left w:val="nil"/>
              <w:bottom w:val="single" w:sz="4" w:space="0" w:color="auto"/>
              <w:right w:val="single" w:sz="4" w:space="0" w:color="auto"/>
            </w:tcBorders>
            <w:shd w:val="clear" w:color="auto" w:fill="auto"/>
            <w:vAlign w:val="center"/>
            <w:hideMark/>
          </w:tcPr>
          <w:p w14:paraId="6BD0CE63" w14:textId="77777777" w:rsidR="00A76E61" w:rsidRPr="00A76E61" w:rsidRDefault="00A76E61" w:rsidP="00A76E61">
            <w:pPr>
              <w:spacing w:after="0" w:line="240" w:lineRule="auto"/>
              <w:jc w:val="both"/>
              <w:rPr>
                <w:rFonts w:ascii="Times New Roman" w:eastAsia="Times New Roman" w:hAnsi="Times New Roman" w:cs="Times New Roman"/>
                <w:color w:val="000000"/>
                <w:sz w:val="20"/>
                <w:szCs w:val="20"/>
                <w:lang w:val="id-ID" w:eastAsia="id-ID"/>
              </w:rPr>
            </w:pPr>
            <w:r w:rsidRPr="00A76E61">
              <w:rPr>
                <w:rFonts w:ascii="Times New Roman" w:eastAsia="Calibri" w:hAnsi="Times New Roman" w:cs="Times New Roman"/>
                <w:color w:val="000000"/>
                <w:sz w:val="20"/>
                <w:szCs w:val="20"/>
                <w:lang w:eastAsia="id-ID"/>
              </w:rPr>
              <w:t>Positif Signifikan</w:t>
            </w:r>
          </w:p>
        </w:tc>
      </w:tr>
    </w:tbl>
    <w:p w14:paraId="315BEB55" w14:textId="2725B1E3" w:rsidR="001265A8" w:rsidRDefault="001265A8" w:rsidP="001265A8">
      <w:pPr>
        <w:pStyle w:val="NoSpacing"/>
        <w:spacing w:before="200" w:after="120" w:line="276" w:lineRule="auto"/>
        <w:jc w:val="both"/>
        <w:rPr>
          <w:rFonts w:ascii="Times New Roman" w:eastAsia="Calibri" w:hAnsi="Times New Roman" w:cs="Times New Roman"/>
          <w:b/>
          <w:sz w:val="24"/>
          <w:szCs w:val="24"/>
        </w:rPr>
      </w:pPr>
      <w:r w:rsidRPr="00120D3D">
        <w:rPr>
          <w:rFonts w:ascii="Times New Roman" w:eastAsia="Calibri" w:hAnsi="Times New Roman" w:cs="Times New Roman"/>
          <w:b/>
          <w:sz w:val="24"/>
          <w:szCs w:val="24"/>
        </w:rPr>
        <w:t xml:space="preserve">Terdapat pengaruh </w:t>
      </w:r>
      <w:r w:rsidRPr="00120D3D">
        <w:rPr>
          <w:rFonts w:ascii="Times New Roman" w:eastAsia="Calibri" w:hAnsi="Times New Roman" w:cs="Times New Roman"/>
          <w:b/>
          <w:i/>
          <w:sz w:val="24"/>
          <w:szCs w:val="24"/>
        </w:rPr>
        <w:t>size</w:t>
      </w:r>
      <w:r w:rsidRPr="00120D3D">
        <w:rPr>
          <w:rFonts w:ascii="Times New Roman" w:eastAsia="Calibri" w:hAnsi="Times New Roman" w:cs="Times New Roman"/>
          <w:b/>
          <w:sz w:val="24"/>
          <w:szCs w:val="24"/>
        </w:rPr>
        <w:t xml:space="preserve"> terhad</w:t>
      </w:r>
      <w:r>
        <w:rPr>
          <w:rFonts w:ascii="Times New Roman" w:eastAsia="Calibri" w:hAnsi="Times New Roman" w:cs="Times New Roman"/>
          <w:b/>
          <w:sz w:val="24"/>
          <w:szCs w:val="24"/>
        </w:rPr>
        <w:t>ap kebijakan pembayaran dividen</w:t>
      </w:r>
    </w:p>
    <w:p w14:paraId="52872F12" w14:textId="2AE42E8C" w:rsidR="001265A8" w:rsidRDefault="001265A8" w:rsidP="001265A8">
      <w:pPr>
        <w:pStyle w:val="NoSpacing"/>
        <w:spacing w:before="200" w:after="120" w:line="276" w:lineRule="auto"/>
        <w:jc w:val="both"/>
        <w:rPr>
          <w:rFonts w:ascii="Times New Roman" w:eastAsia="Times New Roman" w:hAnsi="Times New Roman" w:cs="Times New Roman"/>
          <w:sz w:val="24"/>
          <w:szCs w:val="24"/>
          <w:lang w:val="id-ID"/>
        </w:rPr>
      </w:pPr>
      <w:r w:rsidRPr="001265A8">
        <w:rPr>
          <w:rFonts w:ascii="Times New Roman" w:eastAsia="Times New Roman" w:hAnsi="Times New Roman" w:cs="Times New Roman"/>
          <w:sz w:val="24"/>
          <w:szCs w:val="24"/>
          <w:lang w:val="id-ID"/>
        </w:rPr>
        <w:t xml:space="preserve">Hasil pengujian statistik menunjukkan besarnya nilai sig. </w:t>
      </w:r>
      <w:r w:rsidRPr="001265A8">
        <w:rPr>
          <w:rFonts w:ascii="Times New Roman" w:eastAsia="Times New Roman" w:hAnsi="Times New Roman" w:cs="Times New Roman"/>
          <w:i/>
          <w:sz w:val="24"/>
          <w:szCs w:val="24"/>
          <w:lang w:val="id-ID"/>
        </w:rPr>
        <w:t xml:space="preserve">size </w:t>
      </w:r>
      <w:r w:rsidR="00A76E61">
        <w:rPr>
          <w:rFonts w:ascii="Times New Roman" w:eastAsia="Times New Roman" w:hAnsi="Times New Roman" w:cs="Times New Roman"/>
          <w:sz w:val="24"/>
          <w:szCs w:val="24"/>
          <w:lang w:val="id-ID"/>
        </w:rPr>
        <w:t xml:space="preserve">yaitu sebesar 0.0414 </w:t>
      </w:r>
      <w:r w:rsidRPr="001265A8">
        <w:rPr>
          <w:rFonts w:ascii="Times New Roman" w:eastAsia="Times New Roman" w:hAnsi="Times New Roman" w:cs="Times New Roman"/>
          <w:sz w:val="24"/>
          <w:szCs w:val="24"/>
          <w:lang w:val="id-ID"/>
        </w:rPr>
        <w:t xml:space="preserve">&lt; 0.05 (α = 5%) dan besarnya koefisien kebijakan pembayaran dividen yaitu sebesar -0.246645. Maka dapat </w:t>
      </w:r>
      <w:r w:rsidR="00A76E61">
        <w:rPr>
          <w:rFonts w:ascii="Times New Roman" w:eastAsia="Times New Roman" w:hAnsi="Times New Roman" w:cs="Times New Roman"/>
          <w:sz w:val="24"/>
          <w:szCs w:val="24"/>
          <w:lang w:val="id-ID"/>
        </w:rPr>
        <w:t xml:space="preserve"> </w:t>
      </w:r>
      <w:r w:rsidRPr="001265A8">
        <w:rPr>
          <w:rFonts w:ascii="Times New Roman" w:eastAsia="Times New Roman" w:hAnsi="Times New Roman" w:cs="Times New Roman"/>
          <w:sz w:val="24"/>
          <w:szCs w:val="24"/>
          <w:lang w:val="id-ID"/>
        </w:rPr>
        <w:t xml:space="preserve">disimpulkan bahwa Ho ditolak dan Ha diterima yang menunjukkan bahwa </w:t>
      </w:r>
      <w:r w:rsidRPr="001265A8">
        <w:rPr>
          <w:rFonts w:ascii="Times New Roman" w:eastAsia="Times New Roman" w:hAnsi="Times New Roman" w:cs="Times New Roman"/>
          <w:i/>
          <w:sz w:val="24"/>
          <w:szCs w:val="24"/>
          <w:lang w:val="id-ID"/>
        </w:rPr>
        <w:t>size</w:t>
      </w:r>
      <w:r w:rsidRPr="001265A8">
        <w:rPr>
          <w:rFonts w:ascii="Times New Roman" w:eastAsia="Times New Roman" w:hAnsi="Times New Roman" w:cs="Times New Roman"/>
          <w:sz w:val="24"/>
          <w:szCs w:val="24"/>
          <w:lang w:val="id-ID"/>
        </w:rPr>
        <w:t xml:space="preserve"> berpengaruh negatif terhadap kebijakan pembayaran dividen yang berbanding terbalik dengan hasil penelitian Budagaga, </w:t>
      </w:r>
      <w:r w:rsidRPr="001265A8">
        <w:rPr>
          <w:rFonts w:ascii="Times New Roman" w:eastAsia="Times New Roman" w:hAnsi="Times New Roman" w:cs="Times New Roman"/>
          <w:sz w:val="24"/>
          <w:szCs w:val="24"/>
          <w:lang w:val="id-ID"/>
        </w:rPr>
        <w:lastRenderedPageBreak/>
        <w:t xml:space="preserve">(2020) yang menyatakan bahwa </w:t>
      </w:r>
      <w:r w:rsidRPr="001265A8">
        <w:rPr>
          <w:rFonts w:ascii="Times New Roman" w:eastAsia="Times New Roman" w:hAnsi="Times New Roman" w:cs="Times New Roman"/>
          <w:i/>
          <w:sz w:val="24"/>
          <w:szCs w:val="24"/>
          <w:lang w:val="id-ID"/>
        </w:rPr>
        <w:t>size</w:t>
      </w:r>
      <w:r w:rsidRPr="001265A8">
        <w:rPr>
          <w:rFonts w:ascii="Times New Roman" w:eastAsia="Times New Roman" w:hAnsi="Times New Roman" w:cs="Times New Roman"/>
          <w:sz w:val="24"/>
          <w:szCs w:val="24"/>
          <w:lang w:val="id-ID"/>
        </w:rPr>
        <w:t xml:space="preserve"> berpengaruh positif terhadap kebijakan pembayaran dividen. Hasil penelitian ini didukung oleh penelitian yang dilakukan oleh Pribadi &amp; Sampurno (2012) yang membuktikan bahwa </w:t>
      </w:r>
      <w:r w:rsidRPr="001265A8">
        <w:rPr>
          <w:rFonts w:ascii="Times New Roman" w:eastAsia="Times New Roman" w:hAnsi="Times New Roman" w:cs="Times New Roman"/>
          <w:i/>
          <w:sz w:val="24"/>
          <w:szCs w:val="24"/>
          <w:lang w:val="id-ID"/>
        </w:rPr>
        <w:t>firm’ size</w:t>
      </w:r>
      <w:r w:rsidRPr="001265A8">
        <w:rPr>
          <w:rFonts w:ascii="Times New Roman" w:eastAsia="Times New Roman" w:hAnsi="Times New Roman" w:cs="Times New Roman"/>
          <w:sz w:val="24"/>
          <w:szCs w:val="24"/>
          <w:lang w:val="id-ID"/>
        </w:rPr>
        <w:t xml:space="preserve"> memiliki pengaruh negatif signifikan terhadap kebijakan pembayaran dividen perusahaan, maka semakin besar ukuran suatu perusahaan akan mengurangi kebijakan perusahaan dalam melakukan pembayaran dividen.</w:t>
      </w:r>
    </w:p>
    <w:p w14:paraId="65FF458C" w14:textId="33C18627" w:rsidR="001265A8" w:rsidRDefault="001265A8" w:rsidP="001265A8">
      <w:pPr>
        <w:pStyle w:val="NoSpacing"/>
        <w:spacing w:before="200" w:after="120" w:line="276" w:lineRule="auto"/>
        <w:jc w:val="both"/>
        <w:rPr>
          <w:rFonts w:ascii="Times New Roman" w:eastAsia="Calibri" w:hAnsi="Times New Roman" w:cs="Times New Roman"/>
          <w:b/>
          <w:sz w:val="24"/>
          <w:szCs w:val="24"/>
        </w:rPr>
      </w:pPr>
      <w:r w:rsidRPr="00120D3D">
        <w:rPr>
          <w:rFonts w:ascii="Times New Roman" w:eastAsia="Calibri" w:hAnsi="Times New Roman" w:cs="Times New Roman"/>
          <w:b/>
          <w:sz w:val="24"/>
          <w:szCs w:val="24"/>
        </w:rPr>
        <w:t xml:space="preserve">Terdapat pengaruh </w:t>
      </w:r>
      <w:r w:rsidRPr="00120D3D">
        <w:rPr>
          <w:rFonts w:ascii="Times New Roman" w:eastAsia="Calibri" w:hAnsi="Times New Roman" w:cs="Times New Roman"/>
          <w:b/>
          <w:i/>
          <w:sz w:val="24"/>
          <w:szCs w:val="24"/>
        </w:rPr>
        <w:t>profitability</w:t>
      </w:r>
      <w:r w:rsidRPr="00120D3D">
        <w:rPr>
          <w:rFonts w:ascii="Times New Roman" w:eastAsia="Calibri" w:hAnsi="Times New Roman" w:cs="Times New Roman"/>
          <w:b/>
          <w:sz w:val="24"/>
          <w:szCs w:val="24"/>
        </w:rPr>
        <w:t xml:space="preserve"> terhad</w:t>
      </w:r>
      <w:r>
        <w:rPr>
          <w:rFonts w:ascii="Times New Roman" w:eastAsia="Calibri" w:hAnsi="Times New Roman" w:cs="Times New Roman"/>
          <w:b/>
          <w:sz w:val="24"/>
          <w:szCs w:val="24"/>
        </w:rPr>
        <w:t>ap kebijakan pembayaran dividen</w:t>
      </w:r>
    </w:p>
    <w:p w14:paraId="7E879DE6" w14:textId="1B2FD8F7" w:rsidR="001265A8" w:rsidRDefault="001265A8" w:rsidP="001265A8">
      <w:pPr>
        <w:pStyle w:val="NoSpacing"/>
        <w:spacing w:before="200" w:after="120" w:line="276" w:lineRule="auto"/>
        <w:jc w:val="both"/>
        <w:rPr>
          <w:rFonts w:ascii="Times New Roman" w:eastAsia="Times New Roman" w:hAnsi="Times New Roman" w:cs="Times New Roman"/>
          <w:sz w:val="24"/>
          <w:szCs w:val="24"/>
          <w:lang w:val="id-ID"/>
        </w:rPr>
      </w:pPr>
      <w:r w:rsidRPr="001265A8">
        <w:rPr>
          <w:rFonts w:ascii="Times New Roman" w:eastAsia="Times New Roman" w:hAnsi="Times New Roman" w:cs="Times New Roman"/>
          <w:sz w:val="24"/>
          <w:szCs w:val="24"/>
          <w:lang w:val="id-ID"/>
        </w:rPr>
        <w:t xml:space="preserve">Hasil pengujian statistik menunjukkan besarnya nilai sig. </w:t>
      </w:r>
      <w:r w:rsidRPr="001265A8">
        <w:rPr>
          <w:rFonts w:ascii="Times New Roman" w:eastAsia="Times New Roman" w:hAnsi="Times New Roman" w:cs="Times New Roman"/>
          <w:i/>
          <w:sz w:val="24"/>
          <w:szCs w:val="24"/>
          <w:lang w:val="id-ID"/>
        </w:rPr>
        <w:t>profitability</w:t>
      </w:r>
      <w:r w:rsidRPr="001265A8">
        <w:rPr>
          <w:rFonts w:ascii="Times New Roman" w:eastAsia="Times New Roman" w:hAnsi="Times New Roman" w:cs="Times New Roman"/>
          <w:sz w:val="24"/>
          <w:szCs w:val="24"/>
          <w:lang w:val="id-ID"/>
        </w:rPr>
        <w:t xml:space="preserve"> yaitu sebesar 0.0211 &lt; 0.05 (α = 5%) dan besarnya koefisien kebijakan pembayaran dividen yaitu sebesar -1.375126. Maka dapat disimpulkan bahwa Ho ditolak dan Ha diterima yang menunjukkan bahwa profitability berpengaruh negatif terhadap kebijakan pembayaran negatif yang berbanding terbalik dengan hasil penelitian Budagaga, (2020) yang menyatakan bahwa </w:t>
      </w:r>
      <w:r w:rsidRPr="001265A8">
        <w:rPr>
          <w:rFonts w:ascii="Times New Roman" w:eastAsia="Times New Roman" w:hAnsi="Times New Roman" w:cs="Times New Roman"/>
          <w:i/>
          <w:sz w:val="24"/>
          <w:szCs w:val="24"/>
          <w:lang w:val="id-ID"/>
        </w:rPr>
        <w:t>profitability</w:t>
      </w:r>
      <w:r w:rsidRPr="001265A8">
        <w:rPr>
          <w:rFonts w:ascii="Times New Roman" w:eastAsia="Times New Roman" w:hAnsi="Times New Roman" w:cs="Times New Roman"/>
          <w:sz w:val="24"/>
          <w:szCs w:val="24"/>
          <w:lang w:val="id-ID"/>
        </w:rPr>
        <w:t xml:space="preserve"> berpengaruh positif terhadap kebijakan pembayaran dividen. Hasil penelitian ini didukung oleh penelitian yang dilakukan oleh Khan dkk (2016), Sahaidi., L (2020) yang membuktikan bahwa perusahaan yang memiliki profitabilitas tinggi akan cenderung menahan laba mereka untuk mendapatkan profit yang lebih besar sehingga dividen yang akan dibayarkan kepada pemegang saham akan menjadi berkurang. Oleh karena itu profitability berpengaruh terhadap kebijakan pembayaran dividen.</w:t>
      </w:r>
    </w:p>
    <w:p w14:paraId="0D6975BE" w14:textId="77777777" w:rsidR="00DC7973" w:rsidRDefault="00DC7973" w:rsidP="001265A8">
      <w:pPr>
        <w:pStyle w:val="NoSpacing"/>
        <w:spacing w:before="200" w:after="120" w:line="276" w:lineRule="auto"/>
        <w:jc w:val="both"/>
        <w:rPr>
          <w:rFonts w:ascii="Times New Roman" w:eastAsia="Times New Roman" w:hAnsi="Times New Roman" w:cs="Times New Roman"/>
          <w:b/>
          <w:sz w:val="24"/>
          <w:szCs w:val="24"/>
          <w:lang w:val="id-ID"/>
        </w:rPr>
      </w:pPr>
    </w:p>
    <w:p w14:paraId="15A33534" w14:textId="3E427AFC" w:rsidR="001265A8" w:rsidRDefault="001265A8" w:rsidP="001265A8">
      <w:pPr>
        <w:pStyle w:val="NoSpacing"/>
        <w:spacing w:before="200" w:after="120" w:line="276" w:lineRule="auto"/>
        <w:jc w:val="both"/>
        <w:rPr>
          <w:rFonts w:ascii="Times New Roman" w:eastAsia="Times New Roman" w:hAnsi="Times New Roman" w:cs="Times New Roman"/>
          <w:b/>
          <w:sz w:val="24"/>
          <w:szCs w:val="24"/>
          <w:lang w:val="id-ID"/>
        </w:rPr>
      </w:pPr>
      <w:r w:rsidRPr="001265A8">
        <w:rPr>
          <w:rFonts w:ascii="Times New Roman" w:eastAsia="Times New Roman" w:hAnsi="Times New Roman" w:cs="Times New Roman"/>
          <w:b/>
          <w:sz w:val="24"/>
          <w:szCs w:val="24"/>
          <w:lang w:val="id-ID"/>
        </w:rPr>
        <w:lastRenderedPageBreak/>
        <w:t xml:space="preserve">Terdapat pengaruh </w:t>
      </w:r>
      <w:r w:rsidRPr="001265A8">
        <w:rPr>
          <w:rFonts w:ascii="Times New Roman" w:eastAsia="Times New Roman" w:hAnsi="Times New Roman" w:cs="Times New Roman"/>
          <w:b/>
          <w:i/>
          <w:sz w:val="24"/>
          <w:szCs w:val="24"/>
          <w:lang w:val="id-ID"/>
        </w:rPr>
        <w:t>Capital Adequacy Ratio</w:t>
      </w:r>
      <w:r w:rsidRPr="001265A8">
        <w:rPr>
          <w:rFonts w:ascii="Times New Roman" w:eastAsia="Times New Roman" w:hAnsi="Times New Roman" w:cs="Times New Roman"/>
          <w:b/>
          <w:sz w:val="24"/>
          <w:szCs w:val="24"/>
          <w:lang w:val="id-ID"/>
        </w:rPr>
        <w:t xml:space="preserve"> terhad</w:t>
      </w:r>
      <w:r>
        <w:rPr>
          <w:rFonts w:ascii="Times New Roman" w:eastAsia="Times New Roman" w:hAnsi="Times New Roman" w:cs="Times New Roman"/>
          <w:b/>
          <w:sz w:val="24"/>
          <w:szCs w:val="24"/>
          <w:lang w:val="id-ID"/>
        </w:rPr>
        <w:t>ap kebijakan pembayaran dividen</w:t>
      </w:r>
    </w:p>
    <w:p w14:paraId="0872FC37" w14:textId="7ADFC858" w:rsidR="001265A8" w:rsidRDefault="001265A8" w:rsidP="001265A8">
      <w:pPr>
        <w:pStyle w:val="NoSpacing"/>
        <w:spacing w:before="200" w:after="120" w:line="276" w:lineRule="auto"/>
        <w:jc w:val="both"/>
        <w:rPr>
          <w:rFonts w:ascii="Times New Roman" w:eastAsia="Calibri" w:hAnsi="Times New Roman" w:cs="Times New Roman"/>
          <w:sz w:val="24"/>
          <w:szCs w:val="24"/>
          <w:lang w:val="id-ID"/>
        </w:rPr>
      </w:pPr>
      <w:r w:rsidRPr="00120D3D">
        <w:rPr>
          <w:rFonts w:ascii="Times New Roman" w:eastAsia="Calibri" w:hAnsi="Times New Roman" w:cs="Times New Roman"/>
          <w:sz w:val="24"/>
          <w:szCs w:val="24"/>
        </w:rPr>
        <w:t xml:space="preserve">Hasil pengujian statistik menunjukkan besarnya nilai sig. </w:t>
      </w:r>
      <w:r w:rsidRPr="00120D3D">
        <w:rPr>
          <w:rFonts w:ascii="Times New Roman" w:eastAsia="Calibri" w:hAnsi="Times New Roman" w:cs="Times New Roman"/>
          <w:i/>
          <w:sz w:val="24"/>
          <w:szCs w:val="24"/>
        </w:rPr>
        <w:t xml:space="preserve">capital adequacy ratio </w:t>
      </w:r>
      <w:r w:rsidRPr="00120D3D">
        <w:rPr>
          <w:rFonts w:ascii="Times New Roman" w:eastAsia="Calibri" w:hAnsi="Times New Roman" w:cs="Times New Roman"/>
          <w:sz w:val="24"/>
          <w:szCs w:val="24"/>
        </w:rPr>
        <w:t>yaitu sebesar 0.7177 &gt; 0.05 (</w:t>
      </w:r>
      <w:r w:rsidRPr="00120D3D">
        <w:rPr>
          <w:rFonts w:ascii="Times New Roman" w:eastAsia="Calibri" w:hAnsi="Times New Roman" w:cs="Times New Roman"/>
          <w:color w:val="231F20"/>
          <w:sz w:val="24"/>
          <w:szCs w:val="24"/>
        </w:rPr>
        <w:t xml:space="preserve">α = 5%) dan besarnya koefisien kebijakan pembayaran dividen yaitu sebesar </w:t>
      </w:r>
      <w:r w:rsidRPr="00120D3D">
        <w:rPr>
          <w:rFonts w:ascii="Times New Roman" w:eastAsia="Calibri" w:hAnsi="Times New Roman" w:cs="Times New Roman"/>
          <w:sz w:val="24"/>
          <w:szCs w:val="24"/>
        </w:rPr>
        <w:t xml:space="preserve">-1.375126. Maka dapat disimpulkan bahwa </w:t>
      </w:r>
      <w:r w:rsidRPr="00120D3D">
        <w:rPr>
          <w:rFonts w:ascii="Times New Roman" w:eastAsia="Calibri" w:hAnsi="Times New Roman" w:cs="Times New Roman"/>
          <w:color w:val="231F20"/>
          <w:sz w:val="24"/>
          <w:szCs w:val="24"/>
        </w:rPr>
        <w:t>H</w:t>
      </w:r>
      <w:r w:rsidRPr="00120D3D">
        <w:rPr>
          <w:rFonts w:ascii="Times New Roman" w:eastAsia="Calibri" w:hAnsi="Times New Roman" w:cs="Times New Roman"/>
          <w:color w:val="231F20"/>
          <w:sz w:val="24"/>
          <w:szCs w:val="24"/>
          <w:vertAlign w:val="subscript"/>
        </w:rPr>
        <w:t xml:space="preserve">o </w:t>
      </w:r>
      <w:r w:rsidRPr="00120D3D">
        <w:rPr>
          <w:rFonts w:ascii="Times New Roman" w:eastAsia="Calibri" w:hAnsi="Times New Roman" w:cs="Times New Roman"/>
          <w:color w:val="231F20"/>
          <w:sz w:val="24"/>
          <w:szCs w:val="24"/>
        </w:rPr>
        <w:t>diterima dan H</w:t>
      </w:r>
      <w:r w:rsidRPr="00120D3D">
        <w:rPr>
          <w:rFonts w:ascii="Times New Roman" w:eastAsia="Calibri" w:hAnsi="Times New Roman" w:cs="Times New Roman"/>
          <w:color w:val="231F20"/>
          <w:sz w:val="24"/>
          <w:szCs w:val="24"/>
          <w:vertAlign w:val="subscript"/>
        </w:rPr>
        <w:t xml:space="preserve">a </w:t>
      </w:r>
      <w:r w:rsidRPr="00120D3D">
        <w:rPr>
          <w:rFonts w:ascii="Times New Roman" w:eastAsia="Calibri" w:hAnsi="Times New Roman" w:cs="Times New Roman"/>
          <w:color w:val="231F20"/>
          <w:sz w:val="24"/>
          <w:szCs w:val="24"/>
        </w:rPr>
        <w:t xml:space="preserve">ditolak yang menunjukkan </w:t>
      </w:r>
      <w:r w:rsidRPr="00120D3D">
        <w:rPr>
          <w:rFonts w:ascii="Times New Roman" w:eastAsia="Calibri" w:hAnsi="Times New Roman" w:cs="Times New Roman"/>
          <w:sz w:val="24"/>
          <w:szCs w:val="24"/>
          <w:lang w:val="id-ID"/>
        </w:rPr>
        <w:t>bahwa tidak terdapat pengaruh signifikan</w:t>
      </w:r>
      <w:r w:rsidRPr="00120D3D">
        <w:rPr>
          <w:rFonts w:ascii="Times New Roman" w:eastAsia="Calibri" w:hAnsi="Times New Roman" w:cs="Times New Roman"/>
          <w:sz w:val="24"/>
          <w:szCs w:val="24"/>
        </w:rPr>
        <w:t xml:space="preserve"> </w:t>
      </w:r>
      <w:r w:rsidRPr="00120D3D">
        <w:rPr>
          <w:rFonts w:ascii="Times New Roman" w:eastAsia="Calibri" w:hAnsi="Times New Roman" w:cs="Times New Roman"/>
          <w:i/>
          <w:sz w:val="24"/>
          <w:szCs w:val="24"/>
        </w:rPr>
        <w:t>Capital Adequacy Ratio</w:t>
      </w:r>
      <w:r w:rsidRPr="00120D3D">
        <w:rPr>
          <w:rFonts w:ascii="Times New Roman" w:eastAsia="Calibri" w:hAnsi="Times New Roman" w:cs="Times New Roman"/>
          <w:sz w:val="24"/>
          <w:szCs w:val="24"/>
        </w:rPr>
        <w:t xml:space="preserve"> (CAR)</w:t>
      </w:r>
      <w:r w:rsidRPr="00120D3D">
        <w:rPr>
          <w:rFonts w:ascii="Times New Roman" w:eastAsia="Calibri" w:hAnsi="Times New Roman" w:cs="Times New Roman"/>
          <w:i/>
          <w:sz w:val="24"/>
          <w:szCs w:val="24"/>
        </w:rPr>
        <w:t xml:space="preserve"> </w:t>
      </w:r>
      <w:r w:rsidRPr="00120D3D">
        <w:rPr>
          <w:rFonts w:ascii="Times New Roman" w:eastAsia="Calibri" w:hAnsi="Times New Roman" w:cs="Times New Roman"/>
          <w:sz w:val="24"/>
          <w:szCs w:val="24"/>
          <w:lang w:val="id-ID"/>
        </w:rPr>
        <w:t xml:space="preserve">terhadap </w:t>
      </w:r>
      <w:r w:rsidRPr="00120D3D">
        <w:rPr>
          <w:rFonts w:ascii="Times New Roman" w:eastAsia="Calibri" w:hAnsi="Times New Roman" w:cs="Times New Roman"/>
          <w:sz w:val="24"/>
          <w:szCs w:val="24"/>
        </w:rPr>
        <w:t>kebijakan pembayaran dividen, hal ini bertentangan dengan penelitian yang dilakukan oleh Budgaga (2020) yang men</w:t>
      </w:r>
      <w:r w:rsidRPr="00120D3D">
        <w:rPr>
          <w:rFonts w:ascii="Times New Roman" w:eastAsia="Calibri" w:hAnsi="Times New Roman" w:cs="Times New Roman"/>
          <w:sz w:val="24"/>
          <w:szCs w:val="24"/>
          <w:lang w:val="id-ID"/>
        </w:rPr>
        <w:t xml:space="preserve">yatakan </w:t>
      </w:r>
      <w:r w:rsidRPr="00120D3D">
        <w:rPr>
          <w:rFonts w:ascii="Times New Roman" w:eastAsia="Calibri" w:hAnsi="Times New Roman" w:cs="Times New Roman"/>
          <w:sz w:val="24"/>
          <w:szCs w:val="24"/>
        </w:rPr>
        <w:t xml:space="preserve">bahwa </w:t>
      </w:r>
      <w:r w:rsidRPr="00120D3D">
        <w:rPr>
          <w:rFonts w:ascii="Times New Roman" w:eastAsia="Calibri" w:hAnsi="Times New Roman" w:cs="Times New Roman"/>
          <w:i/>
          <w:sz w:val="24"/>
          <w:szCs w:val="24"/>
        </w:rPr>
        <w:t xml:space="preserve">Capital Adequacy Ratio </w:t>
      </w:r>
      <w:r w:rsidRPr="00120D3D">
        <w:rPr>
          <w:rFonts w:ascii="Times New Roman" w:eastAsia="Calibri" w:hAnsi="Times New Roman" w:cs="Times New Roman"/>
          <w:sz w:val="24"/>
          <w:szCs w:val="24"/>
        </w:rPr>
        <w:t xml:space="preserve">(CAR) memiliki pengaruh positif terhadap kebijakan pembayaran dividen oleh bank. </w:t>
      </w:r>
      <w:r w:rsidRPr="00120D3D">
        <w:rPr>
          <w:rFonts w:ascii="Times New Roman" w:eastAsia="Calibri" w:hAnsi="Times New Roman" w:cs="Times New Roman"/>
          <w:sz w:val="24"/>
          <w:szCs w:val="24"/>
          <w:lang w:val="id-ID"/>
        </w:rPr>
        <w:t>H</w:t>
      </w:r>
      <w:r w:rsidRPr="00120D3D">
        <w:rPr>
          <w:rFonts w:ascii="Times New Roman" w:eastAsia="Calibri" w:hAnsi="Times New Roman" w:cs="Times New Roman"/>
          <w:sz w:val="24"/>
          <w:szCs w:val="24"/>
        </w:rPr>
        <w:t xml:space="preserve">asil </w:t>
      </w:r>
      <w:r w:rsidRPr="00120D3D">
        <w:rPr>
          <w:rFonts w:ascii="Times New Roman" w:eastAsia="Calibri" w:hAnsi="Times New Roman" w:cs="Times New Roman"/>
          <w:sz w:val="24"/>
          <w:szCs w:val="24"/>
          <w:lang w:val="id-ID"/>
        </w:rPr>
        <w:t xml:space="preserve">penelitian ini didukung oleh penelitian yang dilakukan oleh </w:t>
      </w:r>
      <w:r w:rsidRPr="00120D3D">
        <w:rPr>
          <w:rFonts w:ascii="Times New Roman" w:eastAsia="Calibri" w:hAnsi="Times New Roman" w:cs="Times New Roman"/>
          <w:sz w:val="24"/>
          <w:szCs w:val="24"/>
          <w:lang w:val="id-ID"/>
        </w:rPr>
        <w:fldChar w:fldCharType="begin" w:fldLock="1"/>
      </w:r>
      <w:r w:rsidRPr="00120D3D">
        <w:rPr>
          <w:rFonts w:ascii="Times New Roman" w:eastAsia="Calibri" w:hAnsi="Times New Roman" w:cs="Times New Roman"/>
          <w:sz w:val="24"/>
          <w:szCs w:val="24"/>
          <w:lang w:val="id-ID"/>
        </w:rPr>
        <w:instrText>ADDIN CSL_CITATION {"citationItems":[{"id":"ITEM-1","itemData":{"abstract":"This paper is investigating determinants of dividend payout ratio in Indonesia listed banking for year 2012-2018. Dividend is important factors for investors make decision whether to buy or sell shares especially shares in banking industry. Banking industry is essential financial institution for a country and its growth is very important. This paper address on what should be look for determinants of Dividend Payout Ratio for banking industry. Not many papers investigate Dividend Payout Ratio in Indonesian banking industry. Independent variables are factors Loan Deposit Ratio (LDR), Capital Adequacy Ratio (CAR) and Return on Equity (ROE). As literature reveals many contradictions in dividend theory, we investigated which factors effect on banking industry listed in Indonesian Stock Exchange. Sample is selected using purposive sampling with total 10 banks meet criteria. Analyses method used in this paper is multiple regression using E-views version 9.0 and the model is Fixed Effect. Regression results are LDR and ROE affect Dividend Payout Ratio. We suggest bank can manage its LDR ratio wisely since LDR is a source of revenues for bank, while ROE ratio must be assessed regularly because ROE is a measurement how well bank uses its resources to generate profit. Implication on this paper are first, good banking can manage its LDR efficiently because different between Loan and Deposit is profit for the bank, secondly, ROE is profit and consistently effect on dividend. Hence investors should invest on banking industry with consistently yield profit","author":[{"dropping-particle":"","family":"Dewi","given":"Kartika","non-dropping-particle":"","parse-names":false,"suffix":""},{"dropping-particle":"","family":"Pariang","given":"Siagian","non-dropping-particle":"","parse-names":false,"suffix":""},{"dropping-particle":"","family":"Meiryani","given":"","non-dropping-particle":"","parse-names":false,"suffix":""}],"container-title":"Journal of University of Shanghai for Sciene and Technology","id":"ITEM-1","issue":"10","issued":{"date-parts":[["2020"]]},"page":"1564-1568","title":"A Determinants of Dividend Payout Ratio in Indonesian listed Banking","type":"article-journal","volume":"22"},"uris":["http://www.mendeley.com/documents/?uuid=f19ac9b0-110f-4409-be2f-9e683efac9a1"]}],"mendeley":{"formattedCitation":"(Dewi et al., 2020)","manualFormatting":"Dewi, Pariayang &amp; Meiryani, (2020)","plainTextFormattedCitation":"(Dewi et al., 2020)","previouslyFormattedCitation":"(Dewi et al., 2020)"},"properties":{"noteIndex":0},"schema":"https://github.com/citation-style-language/schema/raw/master/csl-citation.json"}</w:instrText>
      </w:r>
      <w:r w:rsidRPr="00120D3D">
        <w:rPr>
          <w:rFonts w:ascii="Times New Roman" w:eastAsia="Calibri" w:hAnsi="Times New Roman" w:cs="Times New Roman"/>
          <w:sz w:val="24"/>
          <w:szCs w:val="24"/>
          <w:lang w:val="id-ID"/>
        </w:rPr>
        <w:fldChar w:fldCharType="separate"/>
      </w:r>
      <w:r w:rsidRPr="00120D3D">
        <w:rPr>
          <w:rFonts w:ascii="Times New Roman" w:eastAsia="Calibri" w:hAnsi="Times New Roman" w:cs="Times New Roman"/>
          <w:noProof/>
          <w:sz w:val="24"/>
          <w:szCs w:val="24"/>
          <w:lang w:val="id-ID"/>
        </w:rPr>
        <w:t>Dewi, Pariayang &amp; Meiryani, (2020)</w:t>
      </w:r>
      <w:r w:rsidRPr="00120D3D">
        <w:rPr>
          <w:rFonts w:ascii="Times New Roman" w:eastAsia="Calibri" w:hAnsi="Times New Roman" w:cs="Times New Roman"/>
          <w:sz w:val="24"/>
          <w:szCs w:val="24"/>
          <w:lang w:val="id-ID"/>
        </w:rPr>
        <w:fldChar w:fldCharType="end"/>
      </w:r>
      <w:r w:rsidRPr="00120D3D">
        <w:rPr>
          <w:rFonts w:ascii="Times New Roman" w:eastAsia="Calibri" w:hAnsi="Times New Roman" w:cs="Times New Roman"/>
          <w:sz w:val="24"/>
          <w:szCs w:val="24"/>
          <w:lang w:val="id-ID"/>
        </w:rPr>
        <w:t xml:space="preserve"> yang membuktikan bahwa </w:t>
      </w:r>
      <w:r w:rsidRPr="00120D3D">
        <w:rPr>
          <w:rFonts w:ascii="Times New Roman" w:eastAsia="Calibri" w:hAnsi="Times New Roman" w:cs="Times New Roman"/>
          <w:i/>
          <w:sz w:val="24"/>
          <w:szCs w:val="24"/>
        </w:rPr>
        <w:t>Capital Adequacy Ratio</w:t>
      </w:r>
      <w:r w:rsidRPr="00120D3D">
        <w:rPr>
          <w:rFonts w:ascii="Times New Roman" w:eastAsia="Calibri" w:hAnsi="Times New Roman" w:cs="Times New Roman"/>
          <w:sz w:val="24"/>
          <w:szCs w:val="24"/>
        </w:rPr>
        <w:t xml:space="preserve"> (CAR</w:t>
      </w:r>
      <w:r w:rsidRPr="00120D3D">
        <w:rPr>
          <w:rFonts w:ascii="Times New Roman" w:eastAsia="Calibri" w:hAnsi="Times New Roman" w:cs="Times New Roman"/>
          <w:sz w:val="24"/>
          <w:szCs w:val="24"/>
          <w:lang w:val="id-ID"/>
        </w:rPr>
        <w:t xml:space="preserve">) terhadap kebijakan pembayaran dividen </w:t>
      </w:r>
      <w:r w:rsidRPr="00120D3D">
        <w:rPr>
          <w:rFonts w:ascii="Times New Roman" w:eastAsia="Calibri" w:hAnsi="Times New Roman" w:cs="Times New Roman"/>
          <w:sz w:val="24"/>
          <w:szCs w:val="24"/>
        </w:rPr>
        <w:t xml:space="preserve">dikarenakan </w:t>
      </w:r>
      <w:r w:rsidRPr="00120D3D">
        <w:rPr>
          <w:rFonts w:ascii="Times New Roman" w:eastAsia="Calibri" w:hAnsi="Times New Roman" w:cs="Times New Roman"/>
          <w:i/>
          <w:sz w:val="24"/>
          <w:szCs w:val="24"/>
        </w:rPr>
        <w:t>Capital Adequacy Ratio</w:t>
      </w:r>
      <w:r w:rsidRPr="00120D3D">
        <w:rPr>
          <w:rFonts w:ascii="Times New Roman" w:eastAsia="Calibri" w:hAnsi="Times New Roman" w:cs="Times New Roman"/>
          <w:sz w:val="24"/>
          <w:szCs w:val="24"/>
        </w:rPr>
        <w:t xml:space="preserve"> (CAR</w:t>
      </w:r>
      <w:r w:rsidRPr="00120D3D">
        <w:rPr>
          <w:rFonts w:ascii="Times New Roman" w:eastAsia="Calibri" w:hAnsi="Times New Roman" w:cs="Times New Roman"/>
          <w:sz w:val="24"/>
          <w:szCs w:val="24"/>
          <w:lang w:val="id-ID"/>
        </w:rPr>
        <w:t xml:space="preserve">) sebagai rasio mengukur modal yang disediakan oleh bank dalam menyerap kerugian dengan menunjukkan bahwa adanya peningkatan dan penurunan </w:t>
      </w:r>
      <w:r w:rsidRPr="00120D3D">
        <w:rPr>
          <w:rFonts w:ascii="Times New Roman" w:eastAsia="Calibri" w:hAnsi="Times New Roman" w:cs="Times New Roman"/>
          <w:i/>
          <w:sz w:val="24"/>
          <w:szCs w:val="24"/>
        </w:rPr>
        <w:t xml:space="preserve">Capital Adequacy Ratio </w:t>
      </w:r>
      <w:r w:rsidRPr="00120D3D">
        <w:rPr>
          <w:rFonts w:ascii="Times New Roman" w:eastAsia="Calibri" w:hAnsi="Times New Roman" w:cs="Times New Roman"/>
          <w:sz w:val="24"/>
          <w:szCs w:val="24"/>
        </w:rPr>
        <w:t>(CAR)</w:t>
      </w:r>
      <w:r w:rsidRPr="00120D3D">
        <w:rPr>
          <w:rFonts w:ascii="Times New Roman" w:eastAsia="Calibri" w:hAnsi="Times New Roman" w:cs="Times New Roman"/>
          <w:sz w:val="24"/>
          <w:szCs w:val="24"/>
          <w:lang w:val="id-ID"/>
        </w:rPr>
        <w:t xml:space="preserve"> tidak berpengaruh terhadap kebijakan pembayaran dividen dikarenakan pembayaran dividen diambil dari laba bersih serta uang tunai yang tersedia oleh bank.</w:t>
      </w:r>
    </w:p>
    <w:p w14:paraId="7615C031" w14:textId="5E5CAAFD" w:rsidR="001265A8" w:rsidRDefault="001265A8" w:rsidP="001265A8">
      <w:pPr>
        <w:pStyle w:val="NoSpacing"/>
        <w:spacing w:before="200" w:after="120" w:line="276" w:lineRule="auto"/>
        <w:jc w:val="both"/>
        <w:rPr>
          <w:rFonts w:ascii="Times New Roman" w:eastAsia="Calibri" w:hAnsi="Times New Roman" w:cs="Times New Roman"/>
          <w:b/>
          <w:sz w:val="24"/>
          <w:szCs w:val="24"/>
          <w:lang w:val="id-ID"/>
        </w:rPr>
      </w:pPr>
      <w:r w:rsidRPr="00120D3D">
        <w:rPr>
          <w:rFonts w:ascii="Times New Roman" w:eastAsia="Calibri" w:hAnsi="Times New Roman" w:cs="Times New Roman"/>
          <w:b/>
          <w:sz w:val="24"/>
          <w:szCs w:val="24"/>
          <w:lang w:val="id-ID"/>
        </w:rPr>
        <w:t>T</w:t>
      </w:r>
      <w:r w:rsidRPr="00120D3D">
        <w:rPr>
          <w:rFonts w:ascii="Times New Roman" w:eastAsia="Calibri" w:hAnsi="Times New Roman" w:cs="Times New Roman"/>
          <w:b/>
          <w:sz w:val="24"/>
          <w:szCs w:val="24"/>
        </w:rPr>
        <w:t xml:space="preserve">erdapat pengaruh </w:t>
      </w:r>
      <w:r w:rsidRPr="00120D3D">
        <w:rPr>
          <w:rFonts w:ascii="Times New Roman" w:eastAsia="Calibri" w:hAnsi="Times New Roman" w:cs="Times New Roman"/>
          <w:b/>
          <w:i/>
          <w:sz w:val="24"/>
          <w:szCs w:val="24"/>
        </w:rPr>
        <w:t>growth</w:t>
      </w:r>
      <w:r w:rsidRPr="00120D3D">
        <w:rPr>
          <w:rFonts w:ascii="Times New Roman" w:eastAsia="Calibri" w:hAnsi="Times New Roman" w:cs="Times New Roman"/>
          <w:b/>
          <w:sz w:val="24"/>
          <w:szCs w:val="24"/>
        </w:rPr>
        <w:t xml:space="preserve"> terhadap kebijakan pembayaran dividen</w:t>
      </w:r>
    </w:p>
    <w:p w14:paraId="14E27D6B" w14:textId="247B995E" w:rsidR="001265A8" w:rsidRPr="00845B5F" w:rsidRDefault="001265A8" w:rsidP="001265A8">
      <w:pPr>
        <w:pStyle w:val="NoSpacing"/>
        <w:spacing w:before="200" w:after="120" w:line="276" w:lineRule="auto"/>
        <w:jc w:val="both"/>
        <w:rPr>
          <w:rFonts w:ascii="Times New Roman" w:eastAsia="Times New Roman" w:hAnsi="Times New Roman" w:cs="Times New Roman"/>
          <w:sz w:val="24"/>
          <w:szCs w:val="24"/>
          <w:lang w:val="id-ID"/>
        </w:rPr>
      </w:pPr>
      <w:r w:rsidRPr="001265A8">
        <w:rPr>
          <w:rFonts w:ascii="Times New Roman" w:eastAsia="Times New Roman" w:hAnsi="Times New Roman" w:cs="Times New Roman"/>
          <w:sz w:val="24"/>
          <w:szCs w:val="24"/>
          <w:lang w:val="id-ID"/>
        </w:rPr>
        <w:t xml:space="preserve">Hasil pengujian statistik menunjukkan besarnya nilai sig. </w:t>
      </w:r>
      <w:r w:rsidRPr="001265A8">
        <w:rPr>
          <w:rFonts w:ascii="Times New Roman" w:eastAsia="Times New Roman" w:hAnsi="Times New Roman" w:cs="Times New Roman"/>
          <w:i/>
          <w:sz w:val="24"/>
          <w:szCs w:val="24"/>
          <w:lang w:val="id-ID"/>
        </w:rPr>
        <w:t>growth</w:t>
      </w:r>
      <w:r w:rsidRPr="001265A8">
        <w:rPr>
          <w:rFonts w:ascii="Times New Roman" w:eastAsia="Times New Roman" w:hAnsi="Times New Roman" w:cs="Times New Roman"/>
          <w:sz w:val="24"/>
          <w:szCs w:val="24"/>
          <w:lang w:val="id-ID"/>
        </w:rPr>
        <w:t xml:space="preserve"> yaitu sebesar 0.4312 &gt; 0.05 (α = 5%) dan besarnya koefisien kebijakan pembayaran dividen yaitu sebesar 0.020569. Maka dapat disimpulkan bahwa Ho diterima dan Ha </w:t>
      </w:r>
      <w:r w:rsidRPr="001265A8">
        <w:rPr>
          <w:rFonts w:ascii="Times New Roman" w:eastAsia="Times New Roman" w:hAnsi="Times New Roman" w:cs="Times New Roman"/>
          <w:sz w:val="24"/>
          <w:szCs w:val="24"/>
          <w:lang w:val="id-ID"/>
        </w:rPr>
        <w:lastRenderedPageBreak/>
        <w:t xml:space="preserve">ditolak yang menunjukkan bahwa tidak terdapat pengaruh signifikan </w:t>
      </w:r>
      <w:r w:rsidRPr="001265A8">
        <w:rPr>
          <w:rFonts w:ascii="Times New Roman" w:eastAsia="Times New Roman" w:hAnsi="Times New Roman" w:cs="Times New Roman"/>
          <w:i/>
          <w:sz w:val="24"/>
          <w:szCs w:val="24"/>
          <w:lang w:val="id-ID"/>
        </w:rPr>
        <w:t xml:space="preserve">growth </w:t>
      </w:r>
      <w:r w:rsidRPr="001265A8">
        <w:rPr>
          <w:rFonts w:ascii="Times New Roman" w:eastAsia="Times New Roman" w:hAnsi="Times New Roman" w:cs="Times New Roman"/>
          <w:sz w:val="24"/>
          <w:szCs w:val="24"/>
          <w:lang w:val="id-ID"/>
        </w:rPr>
        <w:t xml:space="preserve">terhadap kebijakan pembayaran dividen, hal ini sesuai dengan penelitian yang dilakukan oleh Budagaga, (2020) yang membuktikan bahwa tidak terdapat bukti adanya peluang pertumbuhan pada bank yang dapat mempengaruhi kebijakan dalam pembayaran dividen. Sedangkan, hasil penelitian ini bertentangan dengan penelitian yang dilakukan oleh Pribadi &amp; Sampurno, (2012) dan Simanjuntak, (2016) yang menunjukkan bahwa adanya </w:t>
      </w:r>
      <w:r w:rsidRPr="001265A8">
        <w:rPr>
          <w:rFonts w:ascii="Times New Roman" w:eastAsia="Times New Roman" w:hAnsi="Times New Roman" w:cs="Times New Roman"/>
          <w:i/>
          <w:sz w:val="24"/>
          <w:szCs w:val="24"/>
          <w:lang w:val="id-ID"/>
        </w:rPr>
        <w:t>growth opportunities</w:t>
      </w:r>
      <w:r w:rsidRPr="001265A8">
        <w:rPr>
          <w:rFonts w:ascii="Times New Roman" w:eastAsia="Times New Roman" w:hAnsi="Times New Roman" w:cs="Times New Roman"/>
          <w:sz w:val="24"/>
          <w:szCs w:val="24"/>
          <w:lang w:val="id-ID"/>
        </w:rPr>
        <w:t xml:space="preserve"> yang tinggi berpengaruh negatif terhadap kebijakan pembayaran dividen dikarenakan tingginya peluang pertumbuhan akan membuat perusahaan lebih banyak menyimpan dana sebagai </w:t>
      </w:r>
      <w:r w:rsidRPr="001265A8">
        <w:rPr>
          <w:rFonts w:ascii="Times New Roman" w:eastAsia="Times New Roman" w:hAnsi="Times New Roman" w:cs="Times New Roman"/>
          <w:i/>
          <w:sz w:val="24"/>
          <w:szCs w:val="24"/>
          <w:lang w:val="id-ID"/>
        </w:rPr>
        <w:t>retained earnings</w:t>
      </w:r>
      <w:r w:rsidRPr="001265A8">
        <w:rPr>
          <w:rFonts w:ascii="Times New Roman" w:eastAsia="Times New Roman" w:hAnsi="Times New Roman" w:cs="Times New Roman"/>
          <w:sz w:val="24"/>
          <w:szCs w:val="24"/>
          <w:lang w:val="id-ID"/>
        </w:rPr>
        <w:t xml:space="preserve"> untuk masa depan.</w:t>
      </w:r>
    </w:p>
    <w:p w14:paraId="38CAAC0A" w14:textId="7469AB6D" w:rsidR="001265A8" w:rsidRDefault="001265A8" w:rsidP="001265A8">
      <w:pPr>
        <w:pStyle w:val="NoSpacing"/>
        <w:spacing w:before="200" w:after="120" w:line="276" w:lineRule="auto"/>
        <w:jc w:val="both"/>
        <w:rPr>
          <w:rFonts w:ascii="Times New Roman" w:eastAsia="Calibri" w:hAnsi="Times New Roman" w:cs="Times New Roman"/>
          <w:b/>
          <w:sz w:val="24"/>
          <w:szCs w:val="24"/>
        </w:rPr>
      </w:pPr>
      <w:r w:rsidRPr="00120D3D">
        <w:rPr>
          <w:rFonts w:ascii="Times New Roman" w:eastAsia="Calibri" w:hAnsi="Times New Roman" w:cs="Times New Roman"/>
          <w:b/>
          <w:sz w:val="24"/>
          <w:szCs w:val="24"/>
        </w:rPr>
        <w:t xml:space="preserve">Terdapat pengaruh </w:t>
      </w:r>
      <w:r w:rsidRPr="00120D3D">
        <w:rPr>
          <w:rFonts w:ascii="Times New Roman" w:eastAsia="Calibri" w:hAnsi="Times New Roman" w:cs="Times New Roman"/>
          <w:b/>
          <w:i/>
          <w:sz w:val="24"/>
          <w:szCs w:val="24"/>
          <w:lang w:val="id-ID"/>
        </w:rPr>
        <w:t>liquidity</w:t>
      </w:r>
      <w:r w:rsidRPr="00120D3D">
        <w:rPr>
          <w:rFonts w:ascii="Times New Roman" w:eastAsia="Calibri" w:hAnsi="Times New Roman" w:cs="Times New Roman"/>
          <w:b/>
          <w:i/>
          <w:sz w:val="24"/>
          <w:szCs w:val="24"/>
        </w:rPr>
        <w:t xml:space="preserve"> </w:t>
      </w:r>
      <w:r w:rsidRPr="00120D3D">
        <w:rPr>
          <w:rFonts w:ascii="Times New Roman" w:eastAsia="Calibri" w:hAnsi="Times New Roman" w:cs="Times New Roman"/>
          <w:b/>
          <w:sz w:val="24"/>
          <w:szCs w:val="24"/>
        </w:rPr>
        <w:t>terhad</w:t>
      </w:r>
      <w:r>
        <w:rPr>
          <w:rFonts w:ascii="Times New Roman" w:eastAsia="Calibri" w:hAnsi="Times New Roman" w:cs="Times New Roman"/>
          <w:b/>
          <w:sz w:val="24"/>
          <w:szCs w:val="24"/>
        </w:rPr>
        <w:t>ap kebijakan pembayaran dividen</w:t>
      </w:r>
    </w:p>
    <w:p w14:paraId="163FB125" w14:textId="34B780D4" w:rsidR="00845B5F" w:rsidRPr="00845B5F" w:rsidRDefault="001265A8" w:rsidP="001265A8">
      <w:pPr>
        <w:pStyle w:val="NoSpacing"/>
        <w:spacing w:before="200" w:after="120" w:line="276" w:lineRule="auto"/>
        <w:jc w:val="both"/>
        <w:rPr>
          <w:rFonts w:ascii="Times New Roman" w:eastAsia="Calibri" w:hAnsi="Times New Roman" w:cs="Times New Roman"/>
          <w:sz w:val="24"/>
          <w:szCs w:val="24"/>
        </w:rPr>
      </w:pPr>
      <w:r w:rsidRPr="001265A8">
        <w:rPr>
          <w:rFonts w:ascii="Times New Roman" w:eastAsia="Calibri" w:hAnsi="Times New Roman" w:cs="Times New Roman"/>
          <w:sz w:val="24"/>
          <w:szCs w:val="24"/>
        </w:rPr>
        <w:t xml:space="preserve">Hasil pengujian statistik menunjukkan besarnya nilai sig. </w:t>
      </w:r>
      <w:r w:rsidRPr="001265A8">
        <w:rPr>
          <w:rFonts w:ascii="Times New Roman" w:eastAsia="Calibri" w:hAnsi="Times New Roman" w:cs="Times New Roman"/>
          <w:i/>
          <w:sz w:val="24"/>
          <w:szCs w:val="24"/>
          <w:lang w:val="id-ID"/>
        </w:rPr>
        <w:t>liquidity</w:t>
      </w:r>
      <w:r w:rsidRPr="001265A8">
        <w:rPr>
          <w:rFonts w:ascii="Times New Roman" w:eastAsia="Calibri" w:hAnsi="Times New Roman" w:cs="Times New Roman"/>
          <w:sz w:val="24"/>
          <w:szCs w:val="24"/>
        </w:rPr>
        <w:t xml:space="preserve"> yaitu sebesar 0.0427 &lt; 0.05 (α = 5%) dan besarnya koefisien kebijakan pembayaran dividen yaitu sebesar 0.196025. Maka dapat disimpulkan bahwa Ho ditolak dan Ha diterima yang menunjukkan bahwa terdapat pengaruh positif </w:t>
      </w:r>
      <w:r w:rsidRPr="001265A8">
        <w:rPr>
          <w:rFonts w:ascii="Times New Roman" w:eastAsia="Calibri" w:hAnsi="Times New Roman" w:cs="Times New Roman"/>
          <w:i/>
          <w:sz w:val="24"/>
          <w:szCs w:val="24"/>
        </w:rPr>
        <w:t>liquidity</w:t>
      </w:r>
      <w:r w:rsidRPr="001265A8">
        <w:rPr>
          <w:rFonts w:ascii="Times New Roman" w:eastAsia="Calibri" w:hAnsi="Times New Roman" w:cs="Times New Roman"/>
          <w:sz w:val="24"/>
          <w:szCs w:val="24"/>
        </w:rPr>
        <w:t xml:space="preserve"> terhadap kebijakan pembayaran dividen yang bertentangan dengan penelitian Budagaga, (2020) yang menyatakan bahwa tidak terdapatnya pengaruh signifikan </w:t>
      </w:r>
      <w:r w:rsidRPr="001265A8">
        <w:rPr>
          <w:rFonts w:ascii="Times New Roman" w:eastAsia="Calibri" w:hAnsi="Times New Roman" w:cs="Times New Roman"/>
          <w:i/>
          <w:sz w:val="24"/>
          <w:szCs w:val="24"/>
        </w:rPr>
        <w:t>liquidity</w:t>
      </w:r>
      <w:r w:rsidRPr="001265A8">
        <w:rPr>
          <w:rFonts w:ascii="Times New Roman" w:eastAsia="Calibri" w:hAnsi="Times New Roman" w:cs="Times New Roman"/>
          <w:sz w:val="24"/>
          <w:szCs w:val="24"/>
        </w:rPr>
        <w:t xml:space="preserve"> terhadap kebijakan pembayaran dividen. Hasil penelitian ini didukung oleh penelitian Khan dkk, (2016) yang membuktikan bahwa perusahaan yang memiliki likuiditas rendah akan cenderung menahan labanya sebagai </w:t>
      </w:r>
      <w:r w:rsidRPr="001265A8">
        <w:rPr>
          <w:rFonts w:ascii="Times New Roman" w:eastAsia="Calibri" w:hAnsi="Times New Roman" w:cs="Times New Roman"/>
          <w:i/>
          <w:sz w:val="24"/>
          <w:szCs w:val="24"/>
        </w:rPr>
        <w:t>retained earnings</w:t>
      </w:r>
      <w:r w:rsidRPr="001265A8">
        <w:rPr>
          <w:rFonts w:ascii="Times New Roman" w:eastAsia="Calibri" w:hAnsi="Times New Roman" w:cs="Times New Roman"/>
          <w:sz w:val="24"/>
          <w:szCs w:val="24"/>
        </w:rPr>
        <w:t xml:space="preserve"> untuk menginvestasikan kembali dibanding memenuhi kewajibannya dalam pemberian dividen. Oleh karena itu, hal ini menjadikan </w:t>
      </w:r>
      <w:r w:rsidRPr="001265A8">
        <w:rPr>
          <w:rFonts w:ascii="Times New Roman" w:eastAsia="Calibri" w:hAnsi="Times New Roman" w:cs="Times New Roman"/>
          <w:sz w:val="24"/>
          <w:szCs w:val="24"/>
        </w:rPr>
        <w:lastRenderedPageBreak/>
        <w:t>penurunan pula pada kebijakan pembayaran dividen bagi para investor.</w:t>
      </w:r>
    </w:p>
    <w:p w14:paraId="52024841" w14:textId="194D8431" w:rsidR="001265A8" w:rsidRDefault="001265A8" w:rsidP="001265A8">
      <w:pPr>
        <w:pStyle w:val="NoSpacing"/>
        <w:spacing w:before="200" w:after="120" w:line="276" w:lineRule="auto"/>
        <w:jc w:val="both"/>
        <w:rPr>
          <w:rFonts w:ascii="Times New Roman" w:eastAsia="Calibri" w:hAnsi="Times New Roman" w:cs="Times New Roman"/>
          <w:b/>
          <w:sz w:val="24"/>
          <w:szCs w:val="24"/>
        </w:rPr>
      </w:pPr>
      <w:r w:rsidRPr="00120D3D">
        <w:rPr>
          <w:rFonts w:ascii="Times New Roman" w:eastAsia="Calibri" w:hAnsi="Times New Roman" w:cs="Times New Roman"/>
          <w:b/>
          <w:sz w:val="24"/>
          <w:szCs w:val="24"/>
          <w:lang w:val="id-ID"/>
        </w:rPr>
        <w:t>T</w:t>
      </w:r>
      <w:r w:rsidRPr="00120D3D">
        <w:rPr>
          <w:rFonts w:ascii="Times New Roman" w:eastAsia="Calibri" w:hAnsi="Times New Roman" w:cs="Times New Roman"/>
          <w:b/>
          <w:sz w:val="24"/>
          <w:szCs w:val="24"/>
        </w:rPr>
        <w:t xml:space="preserve">erdapat pengaruh </w:t>
      </w:r>
      <w:r w:rsidRPr="00120D3D">
        <w:rPr>
          <w:rFonts w:ascii="Times New Roman" w:eastAsia="Calibri" w:hAnsi="Times New Roman" w:cs="Times New Roman"/>
          <w:b/>
          <w:i/>
          <w:sz w:val="24"/>
          <w:szCs w:val="24"/>
        </w:rPr>
        <w:t xml:space="preserve">credit risk </w:t>
      </w:r>
      <w:r w:rsidRPr="00120D3D">
        <w:rPr>
          <w:rFonts w:ascii="Times New Roman" w:eastAsia="Calibri" w:hAnsi="Times New Roman" w:cs="Times New Roman"/>
          <w:b/>
          <w:sz w:val="24"/>
          <w:szCs w:val="24"/>
        </w:rPr>
        <w:t>terhadap kebijakan pembayaran dividen</w:t>
      </w:r>
    </w:p>
    <w:p w14:paraId="4DD51335" w14:textId="64DFBC18" w:rsidR="001265A8" w:rsidRPr="001265A8" w:rsidRDefault="001265A8" w:rsidP="001265A8">
      <w:pPr>
        <w:pStyle w:val="NoSpacing"/>
        <w:spacing w:before="200" w:after="120" w:line="276" w:lineRule="auto"/>
        <w:jc w:val="both"/>
        <w:rPr>
          <w:rFonts w:ascii="Times New Roman" w:eastAsia="Calibri" w:hAnsi="Times New Roman" w:cs="Times New Roman"/>
          <w:sz w:val="24"/>
          <w:szCs w:val="24"/>
        </w:rPr>
      </w:pPr>
      <w:r w:rsidRPr="001265A8">
        <w:rPr>
          <w:rFonts w:ascii="Times New Roman" w:eastAsia="Calibri" w:hAnsi="Times New Roman" w:cs="Times New Roman"/>
          <w:sz w:val="24"/>
          <w:szCs w:val="24"/>
        </w:rPr>
        <w:t>Hasil pengujian statistik menunjukkan besarnya nilai sig</w:t>
      </w:r>
      <w:r w:rsidRPr="001265A8">
        <w:rPr>
          <w:rFonts w:ascii="Times New Roman" w:eastAsia="Calibri" w:hAnsi="Times New Roman" w:cs="Times New Roman"/>
          <w:i/>
          <w:sz w:val="24"/>
          <w:szCs w:val="24"/>
        </w:rPr>
        <w:t>. credit risk</w:t>
      </w:r>
      <w:r w:rsidRPr="001265A8">
        <w:rPr>
          <w:rFonts w:ascii="Times New Roman" w:eastAsia="Calibri" w:hAnsi="Times New Roman" w:cs="Times New Roman"/>
          <w:sz w:val="24"/>
          <w:szCs w:val="24"/>
        </w:rPr>
        <w:t xml:space="preserve"> yaitu sebesar 0.5557 &gt; 0.05 (α = 5%) dan besarnya koefisien kebijakan pembayaran dividen yaitu sebesar -0.511646. Maka dapat disimpulkan bahwa Ho diterima dan Ha ditolak yang menunjukkan bahwa tidak terdapat pengaruh signifikan </w:t>
      </w:r>
      <w:r w:rsidRPr="001265A8">
        <w:rPr>
          <w:rFonts w:ascii="Times New Roman" w:eastAsia="Calibri" w:hAnsi="Times New Roman" w:cs="Times New Roman"/>
          <w:i/>
          <w:sz w:val="24"/>
          <w:szCs w:val="24"/>
        </w:rPr>
        <w:t>credit risk</w:t>
      </w:r>
      <w:r w:rsidRPr="001265A8">
        <w:rPr>
          <w:rFonts w:ascii="Times New Roman" w:eastAsia="Calibri" w:hAnsi="Times New Roman" w:cs="Times New Roman"/>
          <w:sz w:val="24"/>
          <w:szCs w:val="24"/>
        </w:rPr>
        <w:t xml:space="preserve"> terhadap kebijakan pembayaran dividen, hal ini bertentangan dengan penelitian Budagaga, (2020) yang menyatakan bahwa credit risk berpengaruh negatif terhadap kebijakan pembayran dividen dengan adanya peningkatan risiko kredit suatu bank akan mengurangi laba dengan menurunkan pembayaran dividen dalam upaya peningkatan kekuatan keuangan dan pemenuhan kebijakan permodalan pemerintah. Hasil penelitian ini didukung oleh penelitian oleh Rasyid, (2018) yang membutikan pula risiko kredit tidak berpengaruh secara signifikan terhadap kebijakan pembayaran dividen.</w:t>
      </w:r>
    </w:p>
    <w:p w14:paraId="162DC19F" w14:textId="664D3220" w:rsidR="001265A8" w:rsidRDefault="001265A8" w:rsidP="001265A8">
      <w:pPr>
        <w:pStyle w:val="NoSpacing"/>
        <w:spacing w:before="200" w:after="120" w:line="276" w:lineRule="auto"/>
        <w:jc w:val="both"/>
        <w:rPr>
          <w:rFonts w:ascii="Times New Roman" w:eastAsia="Times New Roman" w:hAnsi="Times New Roman" w:cs="Times New Roman"/>
          <w:b/>
          <w:sz w:val="24"/>
          <w:szCs w:val="24"/>
          <w:lang w:val="id-ID"/>
        </w:rPr>
      </w:pPr>
      <w:r w:rsidRPr="001265A8">
        <w:rPr>
          <w:rFonts w:ascii="Times New Roman" w:eastAsia="Times New Roman" w:hAnsi="Times New Roman" w:cs="Times New Roman"/>
          <w:b/>
          <w:sz w:val="24"/>
          <w:szCs w:val="24"/>
          <w:lang w:val="id-ID"/>
        </w:rPr>
        <w:t xml:space="preserve">Terdapat pengaruh </w:t>
      </w:r>
      <w:r w:rsidRPr="001265A8">
        <w:rPr>
          <w:rFonts w:ascii="Times New Roman" w:eastAsia="Times New Roman" w:hAnsi="Times New Roman" w:cs="Times New Roman"/>
          <w:b/>
          <w:i/>
          <w:sz w:val="24"/>
          <w:szCs w:val="24"/>
          <w:lang w:val="id-ID"/>
        </w:rPr>
        <w:t>bank’s age</w:t>
      </w:r>
      <w:r w:rsidRPr="001265A8">
        <w:rPr>
          <w:rFonts w:ascii="Times New Roman" w:eastAsia="Times New Roman" w:hAnsi="Times New Roman" w:cs="Times New Roman"/>
          <w:b/>
          <w:sz w:val="24"/>
          <w:szCs w:val="24"/>
          <w:lang w:val="id-ID"/>
        </w:rPr>
        <w:t xml:space="preserve"> terhadap kebijakan pembayaran dividen</w:t>
      </w:r>
    </w:p>
    <w:p w14:paraId="3A88E8F1" w14:textId="39730F23" w:rsidR="001265A8" w:rsidRPr="001265A8" w:rsidRDefault="001265A8" w:rsidP="001265A8">
      <w:pPr>
        <w:pStyle w:val="NoSpacing"/>
        <w:spacing w:before="200" w:after="120" w:line="276" w:lineRule="auto"/>
        <w:jc w:val="both"/>
        <w:rPr>
          <w:rFonts w:ascii="Times New Roman" w:eastAsia="Times New Roman" w:hAnsi="Times New Roman" w:cs="Times New Roman"/>
          <w:b/>
          <w:sz w:val="24"/>
          <w:szCs w:val="24"/>
          <w:lang w:val="id-ID"/>
        </w:rPr>
      </w:pPr>
      <w:r w:rsidRPr="00120D3D">
        <w:rPr>
          <w:rFonts w:ascii="Times New Roman" w:eastAsia="Calibri" w:hAnsi="Times New Roman" w:cs="Times New Roman"/>
          <w:sz w:val="24"/>
          <w:szCs w:val="24"/>
        </w:rPr>
        <w:t xml:space="preserve">Hasil pengujian statistik menunjukkan besarnya nilai sig. </w:t>
      </w:r>
      <w:r w:rsidRPr="00120D3D">
        <w:rPr>
          <w:rFonts w:ascii="Times New Roman" w:eastAsia="Calibri" w:hAnsi="Times New Roman" w:cs="Times New Roman"/>
          <w:i/>
          <w:sz w:val="24"/>
          <w:szCs w:val="24"/>
        </w:rPr>
        <w:t xml:space="preserve">bank’s </w:t>
      </w:r>
      <w:r w:rsidRPr="00120D3D">
        <w:rPr>
          <w:rFonts w:ascii="Times New Roman" w:eastAsia="Calibri" w:hAnsi="Times New Roman" w:cs="Times New Roman"/>
          <w:i/>
          <w:iCs/>
          <w:sz w:val="24"/>
          <w:szCs w:val="24"/>
        </w:rPr>
        <w:t>age</w:t>
      </w:r>
      <w:r w:rsidRPr="00120D3D">
        <w:rPr>
          <w:rFonts w:ascii="Times New Roman" w:eastAsia="Calibri" w:hAnsi="Times New Roman" w:cs="Times New Roman"/>
          <w:sz w:val="24"/>
          <w:szCs w:val="24"/>
        </w:rPr>
        <w:t xml:space="preserve"> yaitu sebesar 0.0004 &lt; 0.05 (</w:t>
      </w:r>
      <w:r w:rsidRPr="00120D3D">
        <w:rPr>
          <w:rFonts w:ascii="Times New Roman" w:eastAsia="Calibri" w:hAnsi="Times New Roman" w:cs="Times New Roman"/>
          <w:color w:val="231F20"/>
          <w:sz w:val="24"/>
          <w:szCs w:val="24"/>
        </w:rPr>
        <w:t xml:space="preserve">α = 5%) dan besarnya koefisien kebijakan pembayaran dividen yaitu sebesar </w:t>
      </w:r>
      <w:r w:rsidRPr="00120D3D">
        <w:rPr>
          <w:rFonts w:ascii="Times New Roman" w:eastAsia="Calibri" w:hAnsi="Times New Roman" w:cs="Times New Roman"/>
          <w:sz w:val="24"/>
          <w:szCs w:val="24"/>
        </w:rPr>
        <w:t xml:space="preserve">2.474030. Maka dapat disimpulkan bahwa </w:t>
      </w:r>
      <w:r w:rsidRPr="00120D3D">
        <w:rPr>
          <w:rFonts w:ascii="Times New Roman" w:eastAsia="Calibri" w:hAnsi="Times New Roman" w:cs="Times New Roman"/>
          <w:color w:val="231F20"/>
          <w:sz w:val="24"/>
          <w:szCs w:val="24"/>
        </w:rPr>
        <w:t>H</w:t>
      </w:r>
      <w:r w:rsidRPr="00120D3D">
        <w:rPr>
          <w:rFonts w:ascii="Times New Roman" w:eastAsia="Calibri" w:hAnsi="Times New Roman" w:cs="Times New Roman"/>
          <w:color w:val="231F20"/>
          <w:sz w:val="24"/>
          <w:szCs w:val="24"/>
          <w:vertAlign w:val="subscript"/>
        </w:rPr>
        <w:t xml:space="preserve">o </w:t>
      </w:r>
      <w:r w:rsidRPr="00120D3D">
        <w:rPr>
          <w:rFonts w:ascii="Times New Roman" w:eastAsia="Calibri" w:hAnsi="Times New Roman" w:cs="Times New Roman"/>
          <w:color w:val="231F20"/>
          <w:sz w:val="24"/>
          <w:szCs w:val="24"/>
        </w:rPr>
        <w:t>ditolak dan H</w:t>
      </w:r>
      <w:r w:rsidRPr="00120D3D">
        <w:rPr>
          <w:rFonts w:ascii="Times New Roman" w:eastAsia="Calibri" w:hAnsi="Times New Roman" w:cs="Times New Roman"/>
          <w:color w:val="231F20"/>
          <w:sz w:val="24"/>
          <w:szCs w:val="24"/>
          <w:vertAlign w:val="subscript"/>
        </w:rPr>
        <w:t xml:space="preserve">a </w:t>
      </w:r>
      <w:r w:rsidRPr="00120D3D">
        <w:rPr>
          <w:rFonts w:ascii="Times New Roman" w:eastAsia="Calibri" w:hAnsi="Times New Roman" w:cs="Times New Roman"/>
          <w:color w:val="231F20"/>
          <w:sz w:val="24"/>
          <w:szCs w:val="24"/>
        </w:rPr>
        <w:t xml:space="preserve">diterima yang </w:t>
      </w:r>
      <w:r w:rsidRPr="00120D3D">
        <w:rPr>
          <w:rFonts w:ascii="Times New Roman" w:eastAsia="Calibri" w:hAnsi="Times New Roman" w:cs="Times New Roman"/>
          <w:color w:val="231F20"/>
          <w:sz w:val="24"/>
          <w:szCs w:val="24"/>
          <w:lang w:val="id-ID"/>
        </w:rPr>
        <w:t xml:space="preserve">menunjukkan bahwa </w:t>
      </w:r>
      <w:r w:rsidRPr="00120D3D">
        <w:rPr>
          <w:rFonts w:ascii="Times New Roman" w:eastAsia="Calibri" w:hAnsi="Times New Roman" w:cs="Times New Roman"/>
          <w:i/>
          <w:color w:val="231F20"/>
          <w:sz w:val="24"/>
          <w:szCs w:val="24"/>
          <w:lang w:val="id-ID"/>
        </w:rPr>
        <w:t xml:space="preserve">bank’s </w:t>
      </w:r>
      <w:r w:rsidRPr="00120D3D">
        <w:rPr>
          <w:rFonts w:ascii="Times New Roman" w:eastAsia="Calibri" w:hAnsi="Times New Roman" w:cs="Times New Roman"/>
          <w:i/>
          <w:iCs/>
          <w:color w:val="231F20"/>
          <w:sz w:val="24"/>
          <w:szCs w:val="24"/>
          <w:lang w:val="id-ID"/>
        </w:rPr>
        <w:t>age</w:t>
      </w:r>
      <w:r w:rsidRPr="00120D3D">
        <w:rPr>
          <w:rFonts w:ascii="Times New Roman" w:eastAsia="Calibri" w:hAnsi="Times New Roman" w:cs="Times New Roman"/>
          <w:color w:val="231F20"/>
          <w:sz w:val="24"/>
          <w:szCs w:val="24"/>
          <w:lang w:val="id-ID"/>
        </w:rPr>
        <w:t xml:space="preserve"> berpengaruh positif terhadap kebijakan pembayaran dividen, </w:t>
      </w:r>
      <w:r w:rsidRPr="00120D3D">
        <w:rPr>
          <w:rFonts w:ascii="Times New Roman" w:eastAsia="Calibri" w:hAnsi="Times New Roman" w:cs="Times New Roman"/>
          <w:color w:val="231F20"/>
          <w:sz w:val="24"/>
          <w:szCs w:val="24"/>
        </w:rPr>
        <w:t xml:space="preserve">hal ini mendukung penelitian Budgaga (2020) dan Darmawan (2011), bahwa </w:t>
      </w:r>
      <w:r w:rsidRPr="00120D3D">
        <w:rPr>
          <w:rFonts w:ascii="Times New Roman" w:eastAsia="Calibri" w:hAnsi="Times New Roman" w:cs="Times New Roman"/>
          <w:sz w:val="24"/>
          <w:szCs w:val="24"/>
        </w:rPr>
        <w:t xml:space="preserve">semakin lama berdirinya </w:t>
      </w:r>
      <w:r w:rsidRPr="00120D3D">
        <w:rPr>
          <w:rFonts w:ascii="Times New Roman" w:eastAsia="Calibri" w:hAnsi="Times New Roman" w:cs="Times New Roman"/>
          <w:sz w:val="24"/>
          <w:szCs w:val="24"/>
        </w:rPr>
        <w:lastRenderedPageBreak/>
        <w:t xml:space="preserve">suatu perusahaan maka akan semakin matang dan dewasa perusahaan tersebut sehingga pengelolaan perusahaan juga akan semakin professional yang dapat berpengaruh terhadap peningkatan kebijakan pembayaran dividen perusahaan tersebut. Ketika umur perusahaan sudah semakin tua, peluang investasi </w:t>
      </w:r>
      <w:proofErr w:type="gramStart"/>
      <w:r w:rsidRPr="00120D3D">
        <w:rPr>
          <w:rFonts w:ascii="Times New Roman" w:eastAsia="Calibri" w:hAnsi="Times New Roman" w:cs="Times New Roman"/>
          <w:sz w:val="24"/>
          <w:szCs w:val="24"/>
        </w:rPr>
        <w:t>akan</w:t>
      </w:r>
      <w:proofErr w:type="gramEnd"/>
      <w:r w:rsidRPr="00120D3D">
        <w:rPr>
          <w:rFonts w:ascii="Times New Roman" w:eastAsia="Calibri" w:hAnsi="Times New Roman" w:cs="Times New Roman"/>
          <w:sz w:val="24"/>
          <w:szCs w:val="24"/>
        </w:rPr>
        <w:t xml:space="preserve"> menurun dikarenakan persaingan meningkat dan prospek pertumbuhan aset menurun sehingga dana bank lebih banyak dan dapat membayar dividen tinggi kepada para pemegang saham. Oleh karena itu </w:t>
      </w:r>
      <w:r w:rsidRPr="00120D3D">
        <w:rPr>
          <w:rFonts w:ascii="Times New Roman" w:eastAsia="Calibri" w:hAnsi="Times New Roman" w:cs="Times New Roman"/>
          <w:i/>
          <w:sz w:val="24"/>
          <w:szCs w:val="24"/>
        </w:rPr>
        <w:t xml:space="preserve">bank’s </w:t>
      </w:r>
      <w:r w:rsidRPr="00120D3D">
        <w:rPr>
          <w:rFonts w:ascii="Times New Roman" w:eastAsia="Calibri" w:hAnsi="Times New Roman" w:cs="Times New Roman"/>
          <w:i/>
          <w:iCs/>
          <w:sz w:val="24"/>
          <w:szCs w:val="24"/>
        </w:rPr>
        <w:t>age</w:t>
      </w:r>
      <w:r w:rsidRPr="00120D3D">
        <w:rPr>
          <w:rFonts w:ascii="Times New Roman" w:eastAsia="Calibri" w:hAnsi="Times New Roman" w:cs="Times New Roman"/>
          <w:sz w:val="24"/>
          <w:szCs w:val="24"/>
        </w:rPr>
        <w:t xml:space="preserve"> berpengaruh terhadap kebijakan pembayaran dividen.</w:t>
      </w:r>
    </w:p>
    <w:p w14:paraId="253ACC04" w14:textId="2AC24381" w:rsidR="00AB0986" w:rsidRPr="00F52FFB" w:rsidRDefault="00CC1CBB" w:rsidP="00AB0986">
      <w:pPr>
        <w:pStyle w:val="NoSpacing"/>
        <w:spacing w:before="2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t>K</w:t>
      </w:r>
      <w:r w:rsidR="00AD3F95">
        <w:rPr>
          <w:rFonts w:ascii="Times New Roman" w:hAnsi="Times New Roman" w:cs="Times New Roman"/>
          <w:b/>
          <w:sz w:val="24"/>
          <w:szCs w:val="24"/>
        </w:rPr>
        <w:t>ESIMPULAN</w:t>
      </w:r>
    </w:p>
    <w:p w14:paraId="1FE039EA" w14:textId="4B8CC757" w:rsidR="00AB0986" w:rsidRDefault="00EB1271" w:rsidP="00EB1271">
      <w:pPr>
        <w:spacing w:after="0" w:line="240" w:lineRule="auto"/>
        <w:ind w:firstLine="567"/>
        <w:jc w:val="both"/>
        <w:rPr>
          <w:rFonts w:ascii="Times New Roman" w:eastAsia="Times New Roman" w:hAnsi="Times New Roman" w:cs="Times New Roman"/>
          <w:sz w:val="24"/>
          <w:szCs w:val="24"/>
        </w:rPr>
      </w:pPr>
      <w:r w:rsidRPr="00EB1271">
        <w:rPr>
          <w:rFonts w:ascii="Times New Roman" w:eastAsia="Times New Roman" w:hAnsi="Times New Roman" w:cs="Times New Roman"/>
          <w:sz w:val="24"/>
          <w:szCs w:val="24"/>
        </w:rPr>
        <w:t xml:space="preserve">Sesuai dengan judul penelitian ini yaitu “Faktor-Faktor Penentu Dalam Pengambilan Kebijakan Pembayaran Dividen Pada Bank Konvensional Yang Terdaftar Di Bursa Efek Indonesia” dan tujuan dari penelitian yang dilakukan adalah mengetahui dampak </w:t>
      </w:r>
      <w:r w:rsidRPr="00EB1271">
        <w:rPr>
          <w:rFonts w:ascii="Times New Roman" w:eastAsia="Times New Roman" w:hAnsi="Times New Roman" w:cs="Times New Roman"/>
          <w:i/>
          <w:sz w:val="24"/>
          <w:szCs w:val="24"/>
        </w:rPr>
        <w:t>size, profitability, capital adequacy ratio, growth opportunity, liquidity, credit risk,</w:t>
      </w:r>
      <w:r w:rsidRPr="00EB1271">
        <w:rPr>
          <w:rFonts w:ascii="Times New Roman" w:eastAsia="Times New Roman" w:hAnsi="Times New Roman" w:cs="Times New Roman"/>
          <w:sz w:val="24"/>
          <w:szCs w:val="24"/>
        </w:rPr>
        <w:t xml:space="preserve"> dan </w:t>
      </w:r>
      <w:r w:rsidRPr="00EB1271">
        <w:rPr>
          <w:rFonts w:ascii="Times New Roman" w:eastAsia="Times New Roman" w:hAnsi="Times New Roman" w:cs="Times New Roman"/>
          <w:i/>
          <w:sz w:val="24"/>
          <w:szCs w:val="24"/>
        </w:rPr>
        <w:t>bank’s age</w:t>
      </w:r>
      <w:r w:rsidRPr="00EB1271">
        <w:rPr>
          <w:rFonts w:ascii="Times New Roman" w:eastAsia="Times New Roman" w:hAnsi="Times New Roman" w:cs="Times New Roman"/>
          <w:sz w:val="24"/>
          <w:szCs w:val="24"/>
        </w:rPr>
        <w:t xml:space="preserve"> terhadap kebijakan pembayaran dividen. Hasil penelitian yang telah dilakukan pada 18 perbankan di Indonesia yang terdaftar di Bursa Efek Indonesia pada periode 2015-2020, dari semua variabel y</w:t>
      </w:r>
      <w:r>
        <w:rPr>
          <w:rFonts w:ascii="Times New Roman" w:eastAsia="Times New Roman" w:hAnsi="Times New Roman" w:cs="Times New Roman"/>
          <w:sz w:val="24"/>
          <w:szCs w:val="24"/>
        </w:rPr>
        <w:t>ang diteliti dapat disimpulkan:</w:t>
      </w:r>
      <w:r>
        <w:rPr>
          <w:rFonts w:ascii="Times New Roman" w:eastAsia="Times New Roman" w:hAnsi="Times New Roman" w:cs="Times New Roman"/>
          <w:sz w:val="24"/>
          <w:szCs w:val="24"/>
          <w:lang w:val="id-ID"/>
        </w:rPr>
        <w:t xml:space="preserve"> (1) </w:t>
      </w:r>
      <w:r w:rsidRPr="00EB1271">
        <w:rPr>
          <w:rFonts w:ascii="Times New Roman" w:eastAsia="Times New Roman" w:hAnsi="Times New Roman" w:cs="Times New Roman"/>
          <w:i/>
          <w:sz w:val="24"/>
          <w:szCs w:val="24"/>
        </w:rPr>
        <w:t>Size</w:t>
      </w:r>
      <w:r w:rsidRPr="00EB1271">
        <w:rPr>
          <w:rFonts w:ascii="Times New Roman" w:eastAsia="Times New Roman" w:hAnsi="Times New Roman" w:cs="Times New Roman"/>
          <w:sz w:val="24"/>
          <w:szCs w:val="24"/>
        </w:rPr>
        <w:t xml:space="preserve"> berpengaruh negatif signifikan terhadap kebijakan pembayaran dividen.</w:t>
      </w:r>
      <w:r>
        <w:rPr>
          <w:rFonts w:ascii="Times New Roman" w:eastAsia="Times New Roman" w:hAnsi="Times New Roman" w:cs="Times New Roman"/>
          <w:sz w:val="24"/>
          <w:szCs w:val="24"/>
          <w:lang w:val="id-ID"/>
        </w:rPr>
        <w:t xml:space="preserve"> (2) </w:t>
      </w:r>
      <w:r w:rsidRPr="00EB1271">
        <w:rPr>
          <w:rFonts w:ascii="Times New Roman" w:eastAsia="Times New Roman" w:hAnsi="Times New Roman" w:cs="Times New Roman"/>
          <w:i/>
          <w:sz w:val="24"/>
          <w:szCs w:val="24"/>
        </w:rPr>
        <w:t>Profitability</w:t>
      </w:r>
      <w:r w:rsidRPr="00EB1271">
        <w:rPr>
          <w:rFonts w:ascii="Times New Roman" w:eastAsia="Times New Roman" w:hAnsi="Times New Roman" w:cs="Times New Roman"/>
          <w:sz w:val="24"/>
          <w:szCs w:val="24"/>
        </w:rPr>
        <w:t xml:space="preserve"> berpengaruh negatif signifikan terhadap kebijakan pembayaran dividen.</w:t>
      </w:r>
      <w:r>
        <w:rPr>
          <w:rFonts w:ascii="Times New Roman" w:eastAsia="Times New Roman" w:hAnsi="Times New Roman" w:cs="Times New Roman"/>
          <w:sz w:val="24"/>
          <w:szCs w:val="24"/>
          <w:lang w:val="id-ID"/>
        </w:rPr>
        <w:t xml:space="preserve"> (3) </w:t>
      </w:r>
      <w:r w:rsidRPr="00EB1271">
        <w:rPr>
          <w:rFonts w:ascii="Times New Roman" w:eastAsia="Times New Roman" w:hAnsi="Times New Roman" w:cs="Times New Roman"/>
          <w:sz w:val="24"/>
          <w:szCs w:val="24"/>
        </w:rPr>
        <w:t>Capital adequacy ratio tidak terdapat pengaruh signifikan terhadap kebijakan pembayaran dividen.</w:t>
      </w:r>
      <w:r>
        <w:rPr>
          <w:rFonts w:ascii="Times New Roman" w:eastAsia="Times New Roman" w:hAnsi="Times New Roman" w:cs="Times New Roman"/>
          <w:sz w:val="24"/>
          <w:szCs w:val="24"/>
          <w:lang w:val="id-ID"/>
        </w:rPr>
        <w:t xml:space="preserve"> (4) </w:t>
      </w:r>
      <w:r w:rsidRPr="00EB1271">
        <w:rPr>
          <w:rFonts w:ascii="Times New Roman" w:eastAsia="Times New Roman" w:hAnsi="Times New Roman" w:cs="Times New Roman"/>
          <w:i/>
          <w:sz w:val="24"/>
          <w:szCs w:val="24"/>
        </w:rPr>
        <w:t>Growth opportunity</w:t>
      </w:r>
      <w:r w:rsidRPr="00EB1271">
        <w:rPr>
          <w:rFonts w:ascii="Times New Roman" w:eastAsia="Times New Roman" w:hAnsi="Times New Roman" w:cs="Times New Roman"/>
          <w:sz w:val="24"/>
          <w:szCs w:val="24"/>
        </w:rPr>
        <w:t xml:space="preserve"> tidak terdapat pengaruh signifikan terhadap kebijakan pembayaran dividen.</w:t>
      </w:r>
      <w:r>
        <w:rPr>
          <w:rFonts w:ascii="Times New Roman" w:eastAsia="Times New Roman" w:hAnsi="Times New Roman" w:cs="Times New Roman"/>
          <w:sz w:val="24"/>
          <w:szCs w:val="24"/>
          <w:lang w:val="id-ID"/>
        </w:rPr>
        <w:t xml:space="preserve"> (5) </w:t>
      </w:r>
      <w:r w:rsidRPr="00EB1271">
        <w:rPr>
          <w:rFonts w:ascii="Times New Roman" w:eastAsia="Times New Roman" w:hAnsi="Times New Roman" w:cs="Times New Roman"/>
          <w:sz w:val="24"/>
          <w:szCs w:val="24"/>
        </w:rPr>
        <w:t>Liquidity berpengaruh positif signifikan terhadap kebijakan pembayaran dividen.</w:t>
      </w:r>
      <w:r>
        <w:rPr>
          <w:rFonts w:ascii="Times New Roman" w:eastAsia="Times New Roman" w:hAnsi="Times New Roman" w:cs="Times New Roman"/>
          <w:sz w:val="24"/>
          <w:szCs w:val="24"/>
          <w:lang w:val="id-ID"/>
        </w:rPr>
        <w:t xml:space="preserve"> (6</w:t>
      </w:r>
      <w:r w:rsidRPr="00EB1271">
        <w:rPr>
          <w:rFonts w:ascii="Times New Roman" w:eastAsia="Times New Roman" w:hAnsi="Times New Roman" w:cs="Times New Roman"/>
          <w:i/>
          <w:sz w:val="24"/>
          <w:szCs w:val="24"/>
          <w:lang w:val="id-ID"/>
        </w:rPr>
        <w:t xml:space="preserve">) </w:t>
      </w:r>
      <w:r w:rsidRPr="00EB1271">
        <w:rPr>
          <w:rFonts w:ascii="Times New Roman" w:eastAsia="Times New Roman" w:hAnsi="Times New Roman" w:cs="Times New Roman"/>
          <w:i/>
          <w:sz w:val="24"/>
          <w:szCs w:val="24"/>
        </w:rPr>
        <w:t>Credit risk</w:t>
      </w:r>
      <w:r w:rsidRPr="00EB1271">
        <w:rPr>
          <w:rFonts w:ascii="Times New Roman" w:eastAsia="Times New Roman" w:hAnsi="Times New Roman" w:cs="Times New Roman"/>
          <w:sz w:val="24"/>
          <w:szCs w:val="24"/>
        </w:rPr>
        <w:t xml:space="preserve"> tidak terdapat pengaruh signifikan terhadap kebijakan pembayaran dividen.</w:t>
      </w:r>
      <w:r>
        <w:rPr>
          <w:rFonts w:ascii="Times New Roman" w:eastAsia="Times New Roman" w:hAnsi="Times New Roman" w:cs="Times New Roman"/>
          <w:sz w:val="24"/>
          <w:szCs w:val="24"/>
          <w:lang w:val="id-ID"/>
        </w:rPr>
        <w:t xml:space="preserve"> (7) </w:t>
      </w:r>
      <w:r w:rsidRPr="00EB1271">
        <w:rPr>
          <w:rFonts w:ascii="Times New Roman" w:eastAsia="Times New Roman" w:hAnsi="Times New Roman" w:cs="Times New Roman"/>
          <w:i/>
          <w:sz w:val="24"/>
          <w:szCs w:val="24"/>
        </w:rPr>
        <w:t>Bank’s age</w:t>
      </w:r>
      <w:r w:rsidRPr="00EB1271">
        <w:rPr>
          <w:rFonts w:ascii="Times New Roman" w:eastAsia="Times New Roman" w:hAnsi="Times New Roman" w:cs="Times New Roman"/>
          <w:sz w:val="24"/>
          <w:szCs w:val="24"/>
        </w:rPr>
        <w:t xml:space="preserve"> berpengaruh positif </w:t>
      </w:r>
      <w:r w:rsidRPr="00EB1271">
        <w:rPr>
          <w:rFonts w:ascii="Times New Roman" w:eastAsia="Times New Roman" w:hAnsi="Times New Roman" w:cs="Times New Roman"/>
          <w:sz w:val="24"/>
          <w:szCs w:val="24"/>
        </w:rPr>
        <w:lastRenderedPageBreak/>
        <w:t>signifikan terhadap kebijakan pembayaran dividen.</w:t>
      </w:r>
      <w:r w:rsidR="00AB0986">
        <w:rPr>
          <w:rFonts w:ascii="Times New Roman" w:eastAsia="Times New Roman" w:hAnsi="Times New Roman" w:cs="Times New Roman"/>
          <w:sz w:val="24"/>
          <w:szCs w:val="24"/>
        </w:rPr>
        <w:t xml:space="preserve"> </w:t>
      </w:r>
    </w:p>
    <w:p w14:paraId="1161CB93" w14:textId="6FCB8F15" w:rsidR="00EB1271" w:rsidRPr="00F52FFB" w:rsidRDefault="00CC1CBB" w:rsidP="00AB0986">
      <w:pPr>
        <w:pStyle w:val="NoSpacing"/>
        <w:spacing w:before="2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t>DAFTAR PUSTAKA</w:t>
      </w:r>
      <w:r w:rsidR="00AB0986">
        <w:rPr>
          <w:rFonts w:ascii="Times New Roman" w:hAnsi="Times New Roman" w:cs="Times New Roman"/>
          <w:b/>
          <w:sz w:val="24"/>
          <w:szCs w:val="24"/>
        </w:rPr>
        <w:t xml:space="preserve"> </w:t>
      </w:r>
    </w:p>
    <w:p w14:paraId="14BAE2E4"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Agyemang, E. B. (2013). Determinants of Dividend Payout Policy of listed Financial Institutions in Ghana. </w:t>
      </w:r>
      <w:r w:rsidRPr="00120D3D">
        <w:rPr>
          <w:rFonts w:ascii="Times New Roman" w:hAnsi="Times New Roman" w:cs="Times New Roman"/>
          <w:i/>
          <w:iCs/>
          <w:noProof/>
          <w:sz w:val="24"/>
          <w:szCs w:val="24"/>
        </w:rPr>
        <w:t>Research Journal of Finance and Accounting</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4</w:t>
      </w:r>
      <w:r w:rsidRPr="00120D3D">
        <w:rPr>
          <w:rFonts w:ascii="Times New Roman" w:hAnsi="Times New Roman" w:cs="Times New Roman"/>
          <w:noProof/>
          <w:sz w:val="24"/>
          <w:szCs w:val="24"/>
        </w:rPr>
        <w:t>(7), 2222–2847. https://doi.org/10.2298/PAN1306725N</w:t>
      </w:r>
    </w:p>
    <w:p w14:paraId="609F0AE2"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Alex, D., &amp; Krishnan, A. (2015). Determinants of dividend yield in the case of Indian companies. </w:t>
      </w:r>
      <w:r w:rsidRPr="00120D3D">
        <w:rPr>
          <w:rFonts w:ascii="Times New Roman" w:hAnsi="Times New Roman" w:cs="Times New Roman"/>
          <w:i/>
          <w:iCs/>
          <w:noProof/>
          <w:sz w:val="24"/>
          <w:szCs w:val="24"/>
        </w:rPr>
        <w:t>Journal of Social Sciences Research</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1</w:t>
      </w:r>
      <w:r w:rsidRPr="00120D3D">
        <w:rPr>
          <w:rFonts w:ascii="Times New Roman" w:hAnsi="Times New Roman" w:cs="Times New Roman"/>
          <w:noProof/>
          <w:sz w:val="24"/>
          <w:szCs w:val="24"/>
        </w:rPr>
        <w:t>(6), 66–71.</w:t>
      </w:r>
    </w:p>
    <w:p w14:paraId="507179EF"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Budagaga, A. R. (2020). Determinants of banks’ dividend payment decisions: evidence from MENA countries. </w:t>
      </w:r>
      <w:r w:rsidRPr="00120D3D">
        <w:rPr>
          <w:rFonts w:ascii="Times New Roman" w:hAnsi="Times New Roman" w:cs="Times New Roman"/>
          <w:i/>
          <w:iCs/>
          <w:noProof/>
          <w:sz w:val="24"/>
          <w:szCs w:val="24"/>
        </w:rPr>
        <w:t>International Journal of Islamic and Middle Eastern Finance and Management</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13</w:t>
      </w:r>
      <w:r w:rsidRPr="00120D3D">
        <w:rPr>
          <w:rFonts w:ascii="Times New Roman" w:hAnsi="Times New Roman" w:cs="Times New Roman"/>
          <w:noProof/>
          <w:sz w:val="24"/>
          <w:szCs w:val="24"/>
        </w:rPr>
        <w:t>(5), 847–871. https://doi.org/10.1108/IMEFM-09-2019-0404</w:t>
      </w:r>
    </w:p>
    <w:p w14:paraId="2C5FAD01"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Darmawan, A. (2011). Pengaruh Ukuran Perusahaan, Usia Perusahaan, Lever</w:t>
      </w:r>
      <w:r w:rsidRPr="00120D3D">
        <w:rPr>
          <w:rFonts w:ascii="Times New Roman" w:hAnsi="Times New Roman" w:cs="Times New Roman"/>
          <w:i/>
          <w:iCs/>
          <w:noProof/>
          <w:sz w:val="24"/>
          <w:szCs w:val="24"/>
        </w:rPr>
        <w:t>age</w:t>
      </w:r>
      <w:r w:rsidRPr="00120D3D">
        <w:rPr>
          <w:rFonts w:ascii="Times New Roman" w:hAnsi="Times New Roman" w:cs="Times New Roman"/>
          <w:noProof/>
          <w:sz w:val="24"/>
          <w:szCs w:val="24"/>
        </w:rPr>
        <w:t xml:space="preserve">, Profitabilitas, Struktur Kepemilikan Saham, Investasi,Peluang Investasi terhadap Dividen,Free Cashflow. </w:t>
      </w:r>
      <w:r w:rsidRPr="00120D3D">
        <w:rPr>
          <w:rFonts w:ascii="Times New Roman" w:hAnsi="Times New Roman" w:cs="Times New Roman"/>
          <w:i/>
          <w:iCs/>
          <w:noProof/>
          <w:sz w:val="24"/>
          <w:szCs w:val="24"/>
        </w:rPr>
        <w:t>Jurnal Aplikasi Manajemen</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9</w:t>
      </w:r>
      <w:r w:rsidRPr="00120D3D">
        <w:rPr>
          <w:rFonts w:ascii="Times New Roman" w:hAnsi="Times New Roman" w:cs="Times New Roman"/>
          <w:noProof/>
          <w:sz w:val="24"/>
          <w:szCs w:val="24"/>
        </w:rPr>
        <w:t>, 1413–1425.</w:t>
      </w:r>
    </w:p>
    <w:p w14:paraId="6D7CB768"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Dewi, K., Pariang, S., &amp; Meiryani. (2020). A Determinants of Dividend Payout Ratio in Indonesian listed Banking. </w:t>
      </w:r>
      <w:r w:rsidRPr="00120D3D">
        <w:rPr>
          <w:rFonts w:ascii="Times New Roman" w:hAnsi="Times New Roman" w:cs="Times New Roman"/>
          <w:i/>
          <w:iCs/>
          <w:noProof/>
          <w:sz w:val="24"/>
          <w:szCs w:val="24"/>
        </w:rPr>
        <w:t>Journal of University of Shanghai for Sciene and Technology</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22</w:t>
      </w:r>
      <w:r w:rsidRPr="00120D3D">
        <w:rPr>
          <w:rFonts w:ascii="Times New Roman" w:hAnsi="Times New Roman" w:cs="Times New Roman"/>
          <w:noProof/>
          <w:sz w:val="24"/>
          <w:szCs w:val="24"/>
        </w:rPr>
        <w:t>(10), 1564–1568.</w:t>
      </w:r>
    </w:p>
    <w:p w14:paraId="64950BE3"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Estiasih, S. P., Prihatiningsih, E., &amp; Fatmawati, Y. (2020). Dividend Payout Ratio, Earning Per Share, Debt To Equity Ratio Terhadap Harga Saham pada Perusahaan LQ45. </w:t>
      </w:r>
      <w:r w:rsidRPr="00120D3D">
        <w:rPr>
          <w:rFonts w:ascii="Times New Roman" w:hAnsi="Times New Roman" w:cs="Times New Roman"/>
          <w:i/>
          <w:iCs/>
          <w:noProof/>
          <w:sz w:val="24"/>
          <w:szCs w:val="24"/>
        </w:rPr>
        <w:t>Jurnal Akuntansi Dan Pajak</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21</w:t>
      </w:r>
      <w:r w:rsidRPr="00120D3D">
        <w:rPr>
          <w:rFonts w:ascii="Times New Roman" w:hAnsi="Times New Roman" w:cs="Times New Roman"/>
          <w:noProof/>
          <w:sz w:val="24"/>
          <w:szCs w:val="24"/>
        </w:rPr>
        <w:t>(1), 205–212.</w:t>
      </w:r>
    </w:p>
    <w:p w14:paraId="44F5EE16"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Hellström, G., &amp; Inagambaev, G. (2012). Determinants of Dividend Payout </w:t>
      </w:r>
      <w:r w:rsidRPr="00120D3D">
        <w:rPr>
          <w:rFonts w:ascii="Times New Roman" w:hAnsi="Times New Roman" w:cs="Times New Roman"/>
          <w:noProof/>
          <w:sz w:val="24"/>
          <w:szCs w:val="24"/>
        </w:rPr>
        <w:lastRenderedPageBreak/>
        <w:t xml:space="preserve">Ratios: A Study of Swedish Large and Medium Caps. </w:t>
      </w:r>
      <w:r w:rsidRPr="00120D3D">
        <w:rPr>
          <w:rFonts w:ascii="Times New Roman" w:hAnsi="Times New Roman" w:cs="Times New Roman"/>
          <w:i/>
          <w:iCs/>
          <w:noProof/>
          <w:sz w:val="24"/>
          <w:szCs w:val="24"/>
        </w:rPr>
        <w:t>The Journal of Risk Finance</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7</w:t>
      </w:r>
      <w:r w:rsidRPr="00120D3D">
        <w:rPr>
          <w:rFonts w:ascii="Times New Roman" w:hAnsi="Times New Roman" w:cs="Times New Roman"/>
          <w:noProof/>
          <w:sz w:val="24"/>
          <w:szCs w:val="24"/>
        </w:rPr>
        <w:t>(2), 136–145.</w:t>
      </w:r>
    </w:p>
    <w:p w14:paraId="29BBAE0A"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Hosain, M. Z. (2016). Determinants of the Dividend Payout Policy : A Study on Listed Private Commercial Banks of Dhaka Stock Exchange Limited in Bangladesh. </w:t>
      </w:r>
      <w:r w:rsidRPr="00120D3D">
        <w:rPr>
          <w:rFonts w:ascii="Times New Roman" w:hAnsi="Times New Roman" w:cs="Times New Roman"/>
          <w:i/>
          <w:iCs/>
          <w:noProof/>
          <w:sz w:val="24"/>
          <w:szCs w:val="24"/>
        </w:rPr>
        <w:t>IOSR Journal of Economics and Finance (IOSR-JEF)</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7</w:t>
      </w:r>
      <w:r w:rsidRPr="00120D3D">
        <w:rPr>
          <w:rFonts w:ascii="Times New Roman" w:hAnsi="Times New Roman" w:cs="Times New Roman"/>
          <w:noProof/>
          <w:sz w:val="24"/>
          <w:szCs w:val="24"/>
        </w:rPr>
        <w:t>(5), 1–10. https://doi.org/10.9790/5933-0705040110</w:t>
      </w:r>
    </w:p>
    <w:p w14:paraId="20108CA0"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Hsiao, Y., &amp; Tseng, Y. (2014). Bank Capital Regulation and Dividend Policy. </w:t>
      </w:r>
      <w:r w:rsidRPr="00120D3D">
        <w:rPr>
          <w:rFonts w:ascii="Times New Roman" w:hAnsi="Times New Roman" w:cs="Times New Roman"/>
          <w:i/>
          <w:iCs/>
          <w:noProof/>
          <w:sz w:val="24"/>
          <w:szCs w:val="24"/>
        </w:rPr>
        <w:t>Journal of Financial Studies</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24</w:t>
      </w:r>
      <w:r w:rsidRPr="00120D3D">
        <w:rPr>
          <w:rFonts w:ascii="Times New Roman" w:hAnsi="Times New Roman" w:cs="Times New Roman"/>
          <w:noProof/>
          <w:sz w:val="24"/>
          <w:szCs w:val="24"/>
        </w:rPr>
        <w:t>(3), 45–68.</w:t>
      </w:r>
    </w:p>
    <w:p w14:paraId="35EFAB8B"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Imran, K. (2011). Determinants of Dividend Payout Policy: A Case of Pakistan Engineering Sector. </w:t>
      </w:r>
      <w:r w:rsidRPr="00120D3D">
        <w:rPr>
          <w:rFonts w:ascii="Times New Roman" w:hAnsi="Times New Roman" w:cs="Times New Roman"/>
          <w:i/>
          <w:iCs/>
          <w:noProof/>
          <w:sz w:val="24"/>
          <w:szCs w:val="24"/>
        </w:rPr>
        <w:t>The Romanian Economic Journal</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14</w:t>
      </w:r>
      <w:r w:rsidRPr="00120D3D">
        <w:rPr>
          <w:rFonts w:ascii="Times New Roman" w:hAnsi="Times New Roman" w:cs="Times New Roman"/>
          <w:noProof/>
          <w:sz w:val="24"/>
          <w:szCs w:val="24"/>
        </w:rPr>
        <w:t>(41), 47–60.</w:t>
      </w:r>
    </w:p>
    <w:p w14:paraId="4694D008"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Karauan, P., Murni, S., &amp; Tulung, J. (2017). PENGARUH KINERJA KEUANGAN TERHADAP KEBIJAKAN DIVIDEN PADA BANK BUMN YANG GO PUBLIC DI BURSA EFEK INDONESIA TAHUN 2011-2015. </w:t>
      </w:r>
      <w:r w:rsidRPr="00120D3D">
        <w:rPr>
          <w:rFonts w:ascii="Times New Roman" w:hAnsi="Times New Roman" w:cs="Times New Roman"/>
          <w:i/>
          <w:iCs/>
          <w:noProof/>
          <w:sz w:val="24"/>
          <w:szCs w:val="24"/>
        </w:rPr>
        <w:t>Jurnal EMBA: Jurnal Riset Ekonomi, Manajemen, Bisnis Dan Akuntansi</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5</w:t>
      </w:r>
      <w:r w:rsidRPr="00120D3D">
        <w:rPr>
          <w:rFonts w:ascii="Times New Roman" w:hAnsi="Times New Roman" w:cs="Times New Roman"/>
          <w:noProof/>
          <w:sz w:val="24"/>
          <w:szCs w:val="24"/>
        </w:rPr>
        <w:t>(2), 935–944.</w:t>
      </w:r>
    </w:p>
    <w:p w14:paraId="55FDA942"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Khan, M. N., Naeem, M. U., Rizwan, M., &amp; Salman, M. (2016). Factors Affecting the Firm Dividend Policy : An Empirical Evidence from Textile Sector of Pakistan. </w:t>
      </w:r>
      <w:r w:rsidRPr="00120D3D">
        <w:rPr>
          <w:rFonts w:ascii="Times New Roman" w:hAnsi="Times New Roman" w:cs="Times New Roman"/>
          <w:i/>
          <w:iCs/>
          <w:noProof/>
          <w:sz w:val="24"/>
          <w:szCs w:val="24"/>
        </w:rPr>
        <w:t>International Journal of Advanced Scientific Research and Management</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1</w:t>
      </w:r>
      <w:r w:rsidRPr="00120D3D">
        <w:rPr>
          <w:rFonts w:ascii="Times New Roman" w:hAnsi="Times New Roman" w:cs="Times New Roman"/>
          <w:noProof/>
          <w:sz w:val="24"/>
          <w:szCs w:val="24"/>
        </w:rPr>
        <w:t>(5), 144–149.</w:t>
      </w:r>
    </w:p>
    <w:p w14:paraId="7F532775"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Leon, F. M., &amp; Putra, P. M. (2014). The Determinant Factor of Dividend Policy at Non Finance Listed Companies. </w:t>
      </w:r>
      <w:r w:rsidRPr="00120D3D">
        <w:rPr>
          <w:rFonts w:ascii="Times New Roman" w:hAnsi="Times New Roman" w:cs="Times New Roman"/>
          <w:i/>
          <w:iCs/>
          <w:noProof/>
          <w:sz w:val="24"/>
          <w:szCs w:val="24"/>
        </w:rPr>
        <w:t>International Journal of Engineering, Business and Enterprise Applications</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2006</w:t>
      </w:r>
      <w:r w:rsidRPr="00120D3D">
        <w:rPr>
          <w:rFonts w:ascii="Times New Roman" w:hAnsi="Times New Roman" w:cs="Times New Roman"/>
          <w:noProof/>
          <w:sz w:val="24"/>
          <w:szCs w:val="24"/>
        </w:rPr>
        <w:t>, 22–26.</w:t>
      </w:r>
    </w:p>
    <w:p w14:paraId="341DB595"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lastRenderedPageBreak/>
        <w:t xml:space="preserve">Lepetit, L., Meslier, C., Strobel, F., &amp; Wardhana, L. (2018). Bank dividends, </w:t>
      </w:r>
      <w:r w:rsidRPr="00120D3D">
        <w:rPr>
          <w:rFonts w:ascii="Times New Roman" w:hAnsi="Times New Roman" w:cs="Times New Roman"/>
          <w:i/>
          <w:iCs/>
          <w:noProof/>
          <w:sz w:val="24"/>
          <w:szCs w:val="24"/>
        </w:rPr>
        <w:t>age</w:t>
      </w:r>
      <w:r w:rsidRPr="00120D3D">
        <w:rPr>
          <w:rFonts w:ascii="Times New Roman" w:hAnsi="Times New Roman" w:cs="Times New Roman"/>
          <w:noProof/>
          <w:sz w:val="24"/>
          <w:szCs w:val="24"/>
        </w:rPr>
        <w:t xml:space="preserve">ncy costs and shareholder and creditor rights. </w:t>
      </w:r>
      <w:r w:rsidRPr="00120D3D">
        <w:rPr>
          <w:rFonts w:ascii="Times New Roman" w:hAnsi="Times New Roman" w:cs="Times New Roman"/>
          <w:i/>
          <w:iCs/>
          <w:noProof/>
          <w:sz w:val="24"/>
          <w:szCs w:val="24"/>
        </w:rPr>
        <w:t>International Review of Financial Analysis</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56</w:t>
      </w:r>
      <w:r w:rsidRPr="00120D3D">
        <w:rPr>
          <w:rFonts w:ascii="Times New Roman" w:hAnsi="Times New Roman" w:cs="Times New Roman"/>
          <w:noProof/>
          <w:sz w:val="24"/>
          <w:szCs w:val="24"/>
        </w:rPr>
        <w:t>, 93–111. https://doi.org/10.1016/j.irfa.2017.12.007</w:t>
      </w:r>
    </w:p>
    <w:p w14:paraId="72CBD531"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Pattiruhu, J. R., &amp; Paais, M. (2020). Effect of Liquidity, Profitability, Lever</w:t>
      </w:r>
      <w:r w:rsidRPr="00120D3D">
        <w:rPr>
          <w:rFonts w:ascii="Times New Roman" w:hAnsi="Times New Roman" w:cs="Times New Roman"/>
          <w:i/>
          <w:iCs/>
          <w:noProof/>
          <w:sz w:val="24"/>
          <w:szCs w:val="24"/>
        </w:rPr>
        <w:t>age</w:t>
      </w:r>
      <w:r w:rsidRPr="00120D3D">
        <w:rPr>
          <w:rFonts w:ascii="Times New Roman" w:hAnsi="Times New Roman" w:cs="Times New Roman"/>
          <w:noProof/>
          <w:sz w:val="24"/>
          <w:szCs w:val="24"/>
        </w:rPr>
        <w:t xml:space="preserve">, and Firm Size on Dividend Policy. </w:t>
      </w:r>
      <w:r w:rsidRPr="00120D3D">
        <w:rPr>
          <w:rFonts w:ascii="Times New Roman" w:hAnsi="Times New Roman" w:cs="Times New Roman"/>
          <w:i/>
          <w:iCs/>
          <w:noProof/>
          <w:sz w:val="24"/>
          <w:szCs w:val="24"/>
        </w:rPr>
        <w:t>Journal of Asian Finance, Economics and Business</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7</w:t>
      </w:r>
      <w:r w:rsidRPr="00120D3D">
        <w:rPr>
          <w:rFonts w:ascii="Times New Roman" w:hAnsi="Times New Roman" w:cs="Times New Roman"/>
          <w:noProof/>
          <w:sz w:val="24"/>
          <w:szCs w:val="24"/>
        </w:rPr>
        <w:t>(10), 35–42. https://doi.org/10.13106/jafeb.2020.vol7.no10.035</w:t>
      </w:r>
    </w:p>
    <w:p w14:paraId="10BE9E42"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Pribadi, A. S., &amp; Sampurno, R. D. (2012). Analisis Pengaruh Cash Position, Firm Size, Growth Opprtunity, Ownership, dan Return on asset terhadap Dividend Payout Ratio. </w:t>
      </w:r>
      <w:r w:rsidRPr="00120D3D">
        <w:rPr>
          <w:rFonts w:ascii="Times New Roman" w:hAnsi="Times New Roman" w:cs="Times New Roman"/>
          <w:i/>
          <w:iCs/>
          <w:noProof/>
          <w:sz w:val="24"/>
          <w:szCs w:val="24"/>
        </w:rPr>
        <w:t>Diponegoro Journal of Management</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1</w:t>
      </w:r>
      <w:r w:rsidRPr="00120D3D">
        <w:rPr>
          <w:rFonts w:ascii="Times New Roman" w:hAnsi="Times New Roman" w:cs="Times New Roman"/>
          <w:noProof/>
          <w:sz w:val="24"/>
          <w:szCs w:val="24"/>
        </w:rPr>
        <w:t>(4), 201–211.</w:t>
      </w:r>
    </w:p>
    <w:p w14:paraId="7BC9FB5A"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Rasyid, R. (2018). Pengaruh Kinerja Keuangan Terhadap Kebijakan Dividen (Studi Pada Industri Perbankan Yang Terdaftar Di Bei). </w:t>
      </w:r>
      <w:r w:rsidRPr="00120D3D">
        <w:rPr>
          <w:rFonts w:ascii="Times New Roman" w:hAnsi="Times New Roman" w:cs="Times New Roman"/>
          <w:i/>
          <w:iCs/>
          <w:noProof/>
          <w:sz w:val="24"/>
          <w:szCs w:val="24"/>
        </w:rPr>
        <w:t>Jurnal Muara Ilmu Ekonomi Dan Bisnis</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2</w:t>
      </w:r>
      <w:r w:rsidRPr="00120D3D">
        <w:rPr>
          <w:rFonts w:ascii="Times New Roman" w:hAnsi="Times New Roman" w:cs="Times New Roman"/>
          <w:noProof/>
          <w:sz w:val="24"/>
          <w:szCs w:val="24"/>
        </w:rPr>
        <w:t>(1), 188. https://doi.org/10.24912/jmieb.v2i1.1744</w:t>
      </w:r>
    </w:p>
    <w:p w14:paraId="0EBCA070"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Sahaida.,L., H. (2017). Analysis on Dividend Payout: Empirical Evidence of Property Companies in Malaysia. </w:t>
      </w:r>
      <w:r w:rsidRPr="00120D3D">
        <w:rPr>
          <w:rFonts w:ascii="Times New Roman" w:hAnsi="Times New Roman" w:cs="Times New Roman"/>
          <w:i/>
          <w:iCs/>
          <w:noProof/>
          <w:sz w:val="24"/>
          <w:szCs w:val="24"/>
        </w:rPr>
        <w:t>International Journal of Industrial Management (IJIM)</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3</w:t>
      </w:r>
      <w:r w:rsidRPr="00120D3D">
        <w:rPr>
          <w:rFonts w:ascii="Times New Roman" w:hAnsi="Times New Roman" w:cs="Times New Roman"/>
          <w:noProof/>
          <w:sz w:val="24"/>
          <w:szCs w:val="24"/>
        </w:rPr>
        <w:t>(June), 61–71.</w:t>
      </w:r>
    </w:p>
    <w:p w14:paraId="75639C29"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Septiadi, A. (2020). </w:t>
      </w:r>
      <w:r w:rsidRPr="00120D3D">
        <w:rPr>
          <w:rFonts w:ascii="Times New Roman" w:hAnsi="Times New Roman" w:cs="Times New Roman"/>
          <w:i/>
          <w:iCs/>
          <w:noProof/>
          <w:sz w:val="24"/>
          <w:szCs w:val="24"/>
        </w:rPr>
        <w:t>Begini Nasib Industri Perbankan di Saat Pandemi Virus Corona (Covid-19)</w:t>
      </w:r>
      <w:r w:rsidRPr="00120D3D">
        <w:rPr>
          <w:rFonts w:ascii="Times New Roman" w:hAnsi="Times New Roman" w:cs="Times New Roman"/>
          <w:noProof/>
          <w:sz w:val="24"/>
          <w:szCs w:val="24"/>
        </w:rPr>
        <w:t>. Kontan.Co.Id. https://keuangan.kontan.co.id/news/begini-nasib-industri-perbankan-di-saat-pandemi-virus-corona-covid-19</w:t>
      </w:r>
    </w:p>
    <w:p w14:paraId="096AC8EF"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Simanjuntak, S. M. (2016). Pengaruh Return On Asset , Growth , Total Asset Turnover , Ownership , Firm Size Dan Debt To Total Asset Terhadap Dividend Payout Ratio Pada </w:t>
      </w:r>
      <w:r w:rsidRPr="00120D3D">
        <w:rPr>
          <w:rFonts w:ascii="Times New Roman" w:hAnsi="Times New Roman" w:cs="Times New Roman"/>
          <w:noProof/>
          <w:sz w:val="24"/>
          <w:szCs w:val="24"/>
        </w:rPr>
        <w:lastRenderedPageBreak/>
        <w:t xml:space="preserve">Perusahaan Yang Terdaftar Di Bursa Efek Indonesia. </w:t>
      </w:r>
      <w:r w:rsidRPr="00120D3D">
        <w:rPr>
          <w:rFonts w:ascii="Times New Roman" w:hAnsi="Times New Roman" w:cs="Times New Roman"/>
          <w:i/>
          <w:iCs/>
          <w:noProof/>
          <w:sz w:val="24"/>
          <w:szCs w:val="24"/>
        </w:rPr>
        <w:t>Jurnal Lentera Akuntansi</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2</w:t>
      </w:r>
      <w:r w:rsidRPr="00120D3D">
        <w:rPr>
          <w:rFonts w:ascii="Times New Roman" w:hAnsi="Times New Roman" w:cs="Times New Roman"/>
          <w:noProof/>
          <w:sz w:val="24"/>
          <w:szCs w:val="24"/>
        </w:rPr>
        <w:t>(2), 101–116.</w:t>
      </w:r>
    </w:p>
    <w:p w14:paraId="60AB2C00" w14:textId="77777777" w:rsidR="00EB1271" w:rsidRPr="00120D3D"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Utami, A. P. S., &amp; Darmayanti, N. P. A. (2018). Pengaruh Keputusan Investasi, Keputusan Pendanaan Dan Kebijakan Dividen Terhadap Nilai Perusahaan Food and Bever</w:t>
      </w:r>
      <w:r w:rsidRPr="00120D3D">
        <w:rPr>
          <w:rFonts w:ascii="Times New Roman" w:hAnsi="Times New Roman" w:cs="Times New Roman"/>
          <w:i/>
          <w:iCs/>
          <w:noProof/>
          <w:sz w:val="24"/>
          <w:szCs w:val="24"/>
        </w:rPr>
        <w:t>age</w:t>
      </w:r>
      <w:r w:rsidRPr="00120D3D">
        <w:rPr>
          <w:rFonts w:ascii="Times New Roman" w:hAnsi="Times New Roman" w:cs="Times New Roman"/>
          <w:noProof/>
          <w:sz w:val="24"/>
          <w:szCs w:val="24"/>
        </w:rPr>
        <w:t xml:space="preserve">s. </w:t>
      </w:r>
      <w:r w:rsidRPr="00120D3D">
        <w:rPr>
          <w:rFonts w:ascii="Times New Roman" w:hAnsi="Times New Roman" w:cs="Times New Roman"/>
          <w:i/>
          <w:iCs/>
          <w:noProof/>
          <w:sz w:val="24"/>
          <w:szCs w:val="24"/>
        </w:rPr>
        <w:t>E-Jurnal Manajemen Universitas Udayana</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7</w:t>
      </w:r>
      <w:r w:rsidRPr="00120D3D">
        <w:rPr>
          <w:rFonts w:ascii="Times New Roman" w:hAnsi="Times New Roman" w:cs="Times New Roman"/>
          <w:noProof/>
          <w:sz w:val="24"/>
          <w:szCs w:val="24"/>
        </w:rPr>
        <w:t xml:space="preserve">(10), 5719. </w:t>
      </w:r>
      <w:r w:rsidRPr="00120D3D">
        <w:rPr>
          <w:rFonts w:ascii="Times New Roman" w:hAnsi="Times New Roman" w:cs="Times New Roman"/>
          <w:noProof/>
          <w:sz w:val="24"/>
          <w:szCs w:val="24"/>
        </w:rPr>
        <w:lastRenderedPageBreak/>
        <w:t>https://doi.org/10.24843/ejmunud.2018.v07.i10.p18</w:t>
      </w:r>
    </w:p>
    <w:p w14:paraId="58A650CE" w14:textId="01D69BF5" w:rsidR="00AB0986" w:rsidRPr="00EB1271" w:rsidRDefault="00EB1271" w:rsidP="00EB1271">
      <w:pPr>
        <w:widowControl w:val="0"/>
        <w:autoSpaceDE w:val="0"/>
        <w:autoSpaceDN w:val="0"/>
        <w:adjustRightInd w:val="0"/>
        <w:spacing w:before="20" w:after="240" w:line="240" w:lineRule="auto"/>
        <w:ind w:left="480" w:hanging="480"/>
        <w:jc w:val="both"/>
        <w:rPr>
          <w:rFonts w:ascii="Times New Roman" w:hAnsi="Times New Roman" w:cs="Times New Roman"/>
          <w:noProof/>
          <w:sz w:val="24"/>
          <w:szCs w:val="24"/>
        </w:rPr>
      </w:pPr>
      <w:r w:rsidRPr="00120D3D">
        <w:rPr>
          <w:rFonts w:ascii="Times New Roman" w:hAnsi="Times New Roman" w:cs="Times New Roman"/>
          <w:noProof/>
          <w:sz w:val="24"/>
          <w:szCs w:val="24"/>
        </w:rPr>
        <w:t xml:space="preserve">Yusuf, A., &amp; Muhammed, N. (2015). Determinant of dividend payout in Nigerian banking industry. </w:t>
      </w:r>
      <w:r w:rsidRPr="00120D3D">
        <w:rPr>
          <w:rFonts w:ascii="Times New Roman" w:hAnsi="Times New Roman" w:cs="Times New Roman"/>
          <w:i/>
          <w:iCs/>
          <w:noProof/>
          <w:sz w:val="24"/>
          <w:szCs w:val="24"/>
        </w:rPr>
        <w:t>Scholars Bulletin</w:t>
      </w:r>
      <w:r w:rsidRPr="00120D3D">
        <w:rPr>
          <w:rFonts w:ascii="Times New Roman" w:hAnsi="Times New Roman" w:cs="Times New Roman"/>
          <w:noProof/>
          <w:sz w:val="24"/>
          <w:szCs w:val="24"/>
        </w:rPr>
        <w:t xml:space="preserve">, </w:t>
      </w:r>
      <w:r w:rsidRPr="00120D3D">
        <w:rPr>
          <w:rFonts w:ascii="Times New Roman" w:hAnsi="Times New Roman" w:cs="Times New Roman"/>
          <w:i/>
          <w:iCs/>
          <w:noProof/>
          <w:sz w:val="24"/>
          <w:szCs w:val="24"/>
        </w:rPr>
        <w:t>1</w:t>
      </w:r>
      <w:r>
        <w:rPr>
          <w:rFonts w:ascii="Times New Roman" w:hAnsi="Times New Roman" w:cs="Times New Roman"/>
          <w:noProof/>
          <w:sz w:val="24"/>
          <w:szCs w:val="24"/>
        </w:rPr>
        <w:t>(9), 253–259.</w:t>
      </w:r>
    </w:p>
    <w:p w14:paraId="7F76E2F9" w14:textId="77777777" w:rsidR="00AB0986" w:rsidRDefault="00AB0986" w:rsidP="00AB0986">
      <w:pPr>
        <w:spacing w:after="0" w:line="240" w:lineRule="auto"/>
        <w:jc w:val="both"/>
        <w:rPr>
          <w:rFonts w:ascii="Times New Roman" w:eastAsia="Times New Roman" w:hAnsi="Times New Roman" w:cs="Times New Roman"/>
          <w:sz w:val="24"/>
          <w:szCs w:val="24"/>
        </w:rPr>
      </w:pPr>
    </w:p>
    <w:p w14:paraId="2B1064CC" w14:textId="77777777" w:rsidR="00143CFB" w:rsidRPr="00FE3D7B" w:rsidRDefault="00143CFB" w:rsidP="00143CFB">
      <w:pPr>
        <w:pStyle w:val="NoSpacing"/>
        <w:ind w:left="567" w:hanging="558"/>
        <w:jc w:val="both"/>
        <w:rPr>
          <w:rFonts w:ascii="Times New Roman" w:hAnsi="Times New Roman" w:cs="Times New Roman"/>
          <w:sz w:val="24"/>
          <w:szCs w:val="24"/>
        </w:rPr>
      </w:pPr>
    </w:p>
    <w:p w14:paraId="1062B77D" w14:textId="35144DD0" w:rsidR="00135106" w:rsidRDefault="00CC1CBB" w:rsidP="000320D3">
      <w:pPr>
        <w:pStyle w:val="NoSpacing"/>
        <w:ind w:left="567" w:hanging="558"/>
        <w:jc w:val="both"/>
        <w:rPr>
          <w:rFonts w:ascii="Times New Roman" w:hAnsi="Times New Roman" w:cs="Times New Roman"/>
          <w:sz w:val="24"/>
          <w:szCs w:val="24"/>
        </w:rPr>
      </w:pPr>
      <w:r w:rsidRPr="00F52FFB">
        <w:rPr>
          <w:rFonts w:ascii="Times New Roman" w:hAnsi="Times New Roman" w:cs="Times New Roman"/>
          <w:sz w:val="24"/>
          <w:szCs w:val="24"/>
        </w:rPr>
        <w:t xml:space="preserve">. </w:t>
      </w:r>
    </w:p>
    <w:p w14:paraId="6D2E652A" w14:textId="77777777" w:rsidR="00CC1CBB" w:rsidRDefault="00CC1CBB" w:rsidP="00612CA5">
      <w:pPr>
        <w:pStyle w:val="NoSpacing"/>
        <w:ind w:left="1701" w:hanging="1701"/>
        <w:jc w:val="both"/>
        <w:rPr>
          <w:rFonts w:ascii="Times New Roman" w:hAnsi="Times New Roman" w:cs="Times New Roman"/>
          <w:sz w:val="24"/>
          <w:szCs w:val="24"/>
        </w:rPr>
        <w:sectPr w:rsidR="00CC1CBB" w:rsidSect="00FF662D">
          <w:type w:val="continuous"/>
          <w:pgSz w:w="11906" w:h="16838"/>
          <w:pgMar w:top="1440" w:right="1440" w:bottom="1440" w:left="1440" w:header="709" w:footer="709" w:gutter="0"/>
          <w:cols w:num="2" w:space="708"/>
          <w:docGrid w:linePitch="360"/>
        </w:sectPr>
      </w:pPr>
    </w:p>
    <w:p w14:paraId="27EBEA67" w14:textId="77777777" w:rsidR="00CC1CBB" w:rsidRPr="00F52FFB" w:rsidRDefault="00CC1CBB" w:rsidP="00CC1CBB">
      <w:pPr>
        <w:pStyle w:val="NoSpacing"/>
        <w:ind w:left="1701" w:hanging="981"/>
        <w:jc w:val="both"/>
        <w:rPr>
          <w:rFonts w:ascii="Times New Roman" w:hAnsi="Times New Roman" w:cs="Times New Roman"/>
          <w:sz w:val="24"/>
          <w:szCs w:val="24"/>
        </w:rPr>
      </w:pPr>
    </w:p>
    <w:p w14:paraId="4146F39D" w14:textId="69E7DF07" w:rsidR="006C6650" w:rsidRPr="00AB0986" w:rsidRDefault="006C6650" w:rsidP="00AB0986">
      <w:pPr>
        <w:jc w:val="both"/>
        <w:rPr>
          <w:b/>
        </w:rPr>
      </w:pPr>
    </w:p>
    <w:sectPr w:rsidR="006C6650" w:rsidRPr="00AB0986" w:rsidSect="00FF662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A6CA" w14:textId="77777777" w:rsidR="000F4AC2" w:rsidRDefault="000F4AC2" w:rsidP="004D4823">
      <w:pPr>
        <w:spacing w:after="0" w:line="240" w:lineRule="auto"/>
      </w:pPr>
      <w:r>
        <w:separator/>
      </w:r>
    </w:p>
  </w:endnote>
  <w:endnote w:type="continuationSeparator" w:id="0">
    <w:p w14:paraId="742301FB" w14:textId="77777777" w:rsidR="000F4AC2" w:rsidRDefault="000F4AC2" w:rsidP="004D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544A" w14:textId="43E4CB66" w:rsidR="007B12F1" w:rsidRDefault="007B12F1" w:rsidP="007B12F1">
    <w:pPr>
      <w:pStyle w:val="Footer"/>
      <w:jc w:val="both"/>
      <w:rPr>
        <w:rFonts w:ascii="Times New Roman" w:hAnsi="Times New Roman"/>
        <w:sz w:val="18"/>
      </w:rPr>
    </w:pPr>
    <w:r>
      <w:rPr>
        <w:rFonts w:ascii="Times New Roman" w:hAnsi="Times New Roman"/>
        <w:noProof/>
        <w:sz w:val="18"/>
        <w:lang w:val="id-ID" w:eastAsia="id-ID"/>
      </w:rPr>
      <mc:AlternateContent>
        <mc:Choice Requires="wps">
          <w:drawing>
            <wp:anchor distT="0" distB="0" distL="114300" distR="114300" simplePos="0" relativeHeight="251659264" behindDoc="0" locked="0" layoutInCell="1" allowOverlap="1" wp14:anchorId="3B5BE292" wp14:editId="6413FF3F">
              <wp:simplePos x="0" y="0"/>
              <wp:positionH relativeFrom="column">
                <wp:posOffset>-19050</wp:posOffset>
              </wp:positionH>
              <wp:positionV relativeFrom="paragraph">
                <wp:posOffset>24765</wp:posOffset>
              </wp:positionV>
              <wp:extent cx="57626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249650E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5pt" to="45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" strokecolor="black [3200]" strokeweight="2.25pt">
              <v:stroke joinstyle="miter"/>
            </v:line>
          </w:pict>
        </mc:Fallback>
      </mc:AlternateContent>
    </w:r>
  </w:p>
  <w:p w14:paraId="2D6AE4E6" w14:textId="61D2AE62" w:rsidR="007B12F1" w:rsidRPr="003E6642" w:rsidRDefault="007B12F1" w:rsidP="007B12F1">
    <w:pPr>
      <w:pStyle w:val="Footer"/>
      <w:jc w:val="both"/>
      <w:rPr>
        <w:rFonts w:ascii="Times New Roman" w:hAnsi="Times New Roman"/>
        <w:b/>
        <w:sz w:val="18"/>
      </w:rPr>
    </w:pPr>
    <w:r w:rsidRPr="008723A1">
      <w:rPr>
        <w:rFonts w:ascii="Times New Roman" w:hAnsi="Times New Roman"/>
        <w:sz w:val="18"/>
      </w:rPr>
      <w:t xml:space="preserve">Cara mengutip: </w:t>
    </w:r>
    <w:r w:rsidR="003E6642">
      <w:rPr>
        <w:rFonts w:ascii="Times New Roman" w:hAnsi="Times New Roman"/>
        <w:b/>
        <w:sz w:val="18"/>
      </w:rPr>
      <w:t>DARI EDITOR</w:t>
    </w:r>
  </w:p>
  <w:p w14:paraId="726546C5" w14:textId="77777777" w:rsidR="003E6642" w:rsidRDefault="003E6642" w:rsidP="007B12F1">
    <w:pPr>
      <w:pStyle w:val="Footer"/>
      <w:jc w:val="both"/>
      <w:rPr>
        <w:rFonts w:ascii="Times New Roman" w:hAnsi="Times New Roman"/>
        <w:sz w:val="18"/>
      </w:rPr>
    </w:pPr>
  </w:p>
  <w:p w14:paraId="78DC1BBA" w14:textId="77777777" w:rsidR="007B12F1" w:rsidRDefault="007B12F1" w:rsidP="007B12F1">
    <w:pPr>
      <w:pStyle w:val="Footer"/>
      <w:rPr>
        <w:rFonts w:ascii="Times New Roman" w:hAnsi="Times New Roman"/>
        <w:sz w:val="18"/>
      </w:rPr>
    </w:pPr>
  </w:p>
  <w:p w14:paraId="2F20960C" w14:textId="6A78DF48" w:rsidR="007B12F1" w:rsidRPr="008723A1" w:rsidRDefault="007B12F1" w:rsidP="007B12F1">
    <w:pPr>
      <w:pStyle w:val="Footer"/>
      <w:rPr>
        <w:rFonts w:ascii="Times New Roman" w:hAnsi="Times New Roman" w:cs="Times New Roman"/>
        <w:sz w:val="18"/>
      </w:rPr>
    </w:pPr>
    <w:r>
      <w:rPr>
        <w:rFonts w:ascii="Times New Roman" w:hAnsi="Times New Roman"/>
        <w:sz w:val="18"/>
      </w:rPr>
      <w:t xml:space="preserve">Retrieved from </w:t>
    </w:r>
    <w:r w:rsidRPr="007C6022">
      <w:rPr>
        <w:rFonts w:ascii="Times New Roman" w:hAnsi="Times New Roman" w:cs="Times New Roman"/>
        <w:sz w:val="18"/>
      </w:rPr>
      <w:t>https://jurnal.unitri.ac.id/inde</w:t>
    </w:r>
    <w:r>
      <w:rPr>
        <w:rFonts w:ascii="Times New Roman" w:hAnsi="Times New Roman"/>
        <w:sz w:val="18"/>
      </w:rPr>
      <w:t>x.php/refrensi/article/view/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4F6E" w14:textId="77777777" w:rsidR="000F4AC2" w:rsidRDefault="000F4AC2" w:rsidP="004D4823">
      <w:pPr>
        <w:spacing w:after="0" w:line="240" w:lineRule="auto"/>
      </w:pPr>
      <w:r>
        <w:separator/>
      </w:r>
    </w:p>
  </w:footnote>
  <w:footnote w:type="continuationSeparator" w:id="0">
    <w:p w14:paraId="04FD8C03" w14:textId="77777777" w:rsidR="000F4AC2" w:rsidRDefault="000F4AC2" w:rsidP="004D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84743"/>
      <w:docPartObj>
        <w:docPartGallery w:val="Page Numbers (Top of Page)"/>
        <w:docPartUnique/>
      </w:docPartObj>
    </w:sdtPr>
    <w:sdtEndPr>
      <w:rPr>
        <w:rFonts w:ascii="Times New Roman" w:hAnsi="Times New Roman"/>
        <w:noProof/>
      </w:rPr>
    </w:sdtEndPr>
    <w:sdtContent>
      <w:p w14:paraId="6AE5F530" w14:textId="03F967C9" w:rsidR="007B12F1" w:rsidRPr="001003AE" w:rsidRDefault="0062002D" w:rsidP="0062002D">
        <w:pPr>
          <w:pStyle w:val="Header"/>
          <w:tabs>
            <w:tab w:val="clear" w:pos="4680"/>
            <w:tab w:val="clear" w:pos="9360"/>
            <w:tab w:val="left" w:pos="5790"/>
          </w:tabs>
          <w:rPr>
            <w:rFonts w:ascii="Times New Roman" w:hAnsi="Times New Roman" w:cs="Times New Roman"/>
            <w:noProof/>
          </w:rPr>
        </w:pPr>
        <w:r>
          <w:rPr>
            <w:rFonts w:ascii="Times New Roman" w:hAnsi="Times New Roman" w:cs="Times New Roman"/>
            <w:noProof/>
          </w:rPr>
          <w:tab/>
        </w:r>
      </w:p>
      <w:p w14:paraId="12FC1C17" w14:textId="59E0AD46" w:rsidR="007B12F1" w:rsidRPr="0006342C" w:rsidRDefault="007B12F1" w:rsidP="007B12F1">
        <w:pPr>
          <w:pStyle w:val="Header"/>
          <w:spacing w:after="240"/>
          <w:jc w:val="right"/>
          <w:rPr>
            <w:rFonts w:ascii="Times New Roman" w:hAnsi="Times New Roman"/>
          </w:rPr>
        </w:pPr>
        <w:proofErr w:type="gramStart"/>
        <w:r>
          <w:rPr>
            <w:rFonts w:ascii="Book Antiqua" w:hAnsi="Book Antiqua"/>
            <w:i/>
            <w:sz w:val="20"/>
            <w:szCs w:val="20"/>
          </w:rPr>
          <w:t>Refere</w:t>
        </w:r>
        <w:r w:rsidRPr="00DD5C2A">
          <w:rPr>
            <w:rFonts w:ascii="Book Antiqua" w:hAnsi="Book Antiqua"/>
            <w:i/>
            <w:sz w:val="20"/>
            <w:szCs w:val="20"/>
          </w:rPr>
          <w:t>nsi</w:t>
        </w:r>
        <w:r>
          <w:rPr>
            <w:rFonts w:ascii="Book Antiqua" w:hAnsi="Book Antiqua"/>
            <w:i/>
            <w:sz w:val="20"/>
            <w:szCs w:val="20"/>
          </w:rPr>
          <w:t xml:space="preserve"> </w:t>
        </w:r>
        <w:r w:rsidRPr="00DD5C2A">
          <w:rPr>
            <w:rFonts w:ascii="Book Antiqua" w:hAnsi="Book Antiqua"/>
            <w:i/>
            <w:sz w:val="20"/>
            <w:szCs w:val="20"/>
          </w:rPr>
          <w:t>:</w:t>
        </w:r>
        <w:proofErr w:type="gramEnd"/>
        <w:r w:rsidRPr="00DD5C2A">
          <w:rPr>
            <w:rFonts w:ascii="Book Antiqua" w:hAnsi="Book Antiqua"/>
            <w:i/>
            <w:sz w:val="20"/>
            <w:szCs w:val="20"/>
          </w:rPr>
          <w:t xml:space="preserve"> Jurnal Ilmu </w:t>
        </w:r>
        <w:r>
          <w:rPr>
            <w:rFonts w:ascii="Book Antiqua" w:hAnsi="Book Antiqua"/>
            <w:i/>
            <w:sz w:val="20"/>
            <w:szCs w:val="20"/>
          </w:rPr>
          <w:t xml:space="preserve">Manajemen dan Akutansi </w:t>
        </w:r>
      </w:p>
    </w:sdtContent>
  </w:sdt>
  <w:p w14:paraId="23437BE4" w14:textId="77777777" w:rsidR="007B12F1" w:rsidRDefault="007B1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283712"/>
      <w:docPartObj>
        <w:docPartGallery w:val="Page Numbers (Top of Page)"/>
        <w:docPartUnique/>
      </w:docPartObj>
    </w:sdtPr>
    <w:sdtEndPr>
      <w:rPr>
        <w:rFonts w:ascii="Times New Roman" w:hAnsi="Times New Roman"/>
        <w:noProof/>
      </w:rPr>
    </w:sdtEndPr>
    <w:sdtContent>
      <w:p w14:paraId="328F0C53" w14:textId="1A9A16DF" w:rsidR="007B12F1" w:rsidRPr="001003AE" w:rsidRDefault="007B12F1" w:rsidP="007B12F1">
        <w:pPr>
          <w:pStyle w:val="Header"/>
          <w:jc w:val="right"/>
          <w:rPr>
            <w:rFonts w:ascii="Times New Roman" w:hAnsi="Times New Roman" w:cs="Times New Roman"/>
            <w:noProof/>
          </w:rPr>
        </w:pPr>
      </w:p>
      <w:p w14:paraId="34D88C11" w14:textId="05ED0822" w:rsidR="007B12F1" w:rsidRPr="0006342C" w:rsidRDefault="007B12F1" w:rsidP="007B12F1">
        <w:pPr>
          <w:pStyle w:val="Header"/>
          <w:spacing w:after="240"/>
          <w:rPr>
            <w:rFonts w:ascii="Times New Roman" w:hAnsi="Times New Roman"/>
          </w:rPr>
        </w:pPr>
        <w:proofErr w:type="gramStart"/>
        <w:r>
          <w:rPr>
            <w:rFonts w:ascii="Book Antiqua" w:hAnsi="Book Antiqua"/>
            <w:i/>
            <w:sz w:val="20"/>
            <w:szCs w:val="20"/>
          </w:rPr>
          <w:t>Referens</w:t>
        </w:r>
        <w:r w:rsidRPr="00DD5C2A">
          <w:rPr>
            <w:rFonts w:ascii="Book Antiqua" w:hAnsi="Book Antiqua"/>
            <w:i/>
            <w:sz w:val="20"/>
            <w:szCs w:val="20"/>
          </w:rPr>
          <w:t>i</w:t>
        </w:r>
        <w:r>
          <w:rPr>
            <w:rFonts w:ascii="Book Antiqua" w:hAnsi="Book Antiqua"/>
            <w:i/>
            <w:sz w:val="20"/>
            <w:szCs w:val="20"/>
          </w:rPr>
          <w:t xml:space="preserve"> </w:t>
        </w:r>
        <w:r w:rsidRPr="00DD5C2A">
          <w:rPr>
            <w:rFonts w:ascii="Book Antiqua" w:hAnsi="Book Antiqua"/>
            <w:i/>
            <w:sz w:val="20"/>
            <w:szCs w:val="20"/>
          </w:rPr>
          <w:t>:</w:t>
        </w:r>
        <w:proofErr w:type="gramEnd"/>
        <w:r w:rsidRPr="00DD5C2A">
          <w:rPr>
            <w:rFonts w:ascii="Book Antiqua" w:hAnsi="Book Antiqua"/>
            <w:i/>
            <w:sz w:val="20"/>
            <w:szCs w:val="20"/>
          </w:rPr>
          <w:t xml:space="preserve"> Jurnal </w:t>
        </w:r>
        <w:r>
          <w:rPr>
            <w:rFonts w:ascii="Book Antiqua" w:hAnsi="Book Antiqua"/>
            <w:i/>
            <w:sz w:val="20"/>
            <w:szCs w:val="20"/>
          </w:rPr>
          <w:t xml:space="preserve">Ilmu Manajemen dan Akutansi </w:t>
        </w:r>
      </w:p>
    </w:sdtContent>
  </w:sdt>
  <w:p w14:paraId="0592CB74" w14:textId="20A86BD7" w:rsidR="00FF662D" w:rsidRPr="00B36BBA" w:rsidRDefault="00FF662D" w:rsidP="0002455D">
    <w:pPr>
      <w:pStyle w:val="Header"/>
      <w:jc w:val="right"/>
      <w:rPr>
        <w:rFonts w:ascii="Book Antiqua" w:hAnsi="Book Antiqua"/>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69A8" w14:textId="55303C1E" w:rsidR="00FF662D" w:rsidRPr="0006342C" w:rsidRDefault="00FF662D" w:rsidP="00FF662D">
    <w:pPr>
      <w:pStyle w:val="Header"/>
      <w:jc w:val="right"/>
      <w:rPr>
        <w:rFonts w:ascii="Times New Roman" w:hAnsi="Times New Roman"/>
        <w:szCs w:val="20"/>
      </w:rPr>
    </w:pPr>
  </w:p>
  <w:p w14:paraId="53B44066" w14:textId="4F98A890" w:rsidR="00FF662D" w:rsidRPr="00DD5C2A" w:rsidRDefault="00FF662D" w:rsidP="00FF662D">
    <w:pPr>
      <w:pStyle w:val="Header"/>
      <w:rPr>
        <w:rFonts w:ascii="Book Antiqua" w:hAnsi="Book Antiqua"/>
        <w:sz w:val="20"/>
        <w:szCs w:val="20"/>
      </w:rPr>
    </w:pPr>
    <w:proofErr w:type="gramStart"/>
    <w:r>
      <w:rPr>
        <w:rFonts w:ascii="Book Antiqua" w:hAnsi="Book Antiqua"/>
        <w:i/>
        <w:sz w:val="20"/>
        <w:szCs w:val="20"/>
      </w:rPr>
      <w:t>Referen</w:t>
    </w:r>
    <w:r w:rsidRPr="00DD5C2A">
      <w:rPr>
        <w:rFonts w:ascii="Book Antiqua" w:hAnsi="Book Antiqua"/>
        <w:i/>
        <w:sz w:val="20"/>
        <w:szCs w:val="20"/>
      </w:rPr>
      <w:t>si</w:t>
    </w:r>
    <w:r>
      <w:rPr>
        <w:rFonts w:ascii="Book Antiqua" w:hAnsi="Book Antiqua"/>
        <w:i/>
        <w:sz w:val="20"/>
        <w:szCs w:val="20"/>
      </w:rPr>
      <w:t xml:space="preserve"> </w:t>
    </w:r>
    <w:r w:rsidRPr="00DD5C2A">
      <w:rPr>
        <w:rFonts w:ascii="Book Antiqua" w:hAnsi="Book Antiqua"/>
        <w:i/>
        <w:sz w:val="20"/>
        <w:szCs w:val="20"/>
      </w:rPr>
      <w:t>:</w:t>
    </w:r>
    <w:proofErr w:type="gramEnd"/>
    <w:r w:rsidRPr="00DD5C2A">
      <w:rPr>
        <w:rFonts w:ascii="Book Antiqua" w:hAnsi="Book Antiqua"/>
        <w:i/>
        <w:sz w:val="20"/>
        <w:szCs w:val="20"/>
      </w:rPr>
      <w:t xml:space="preserve"> Jurnal Ilmu </w:t>
    </w:r>
    <w:r>
      <w:rPr>
        <w:rFonts w:ascii="Book Antiqua" w:hAnsi="Book Antiqua"/>
        <w:i/>
        <w:sz w:val="20"/>
        <w:szCs w:val="20"/>
      </w:rPr>
      <w:t xml:space="preserve">Manajemen dan Akutansi </w:t>
    </w:r>
  </w:p>
  <w:p w14:paraId="45177840" w14:textId="77777777" w:rsidR="00FF662D" w:rsidRPr="008A6829" w:rsidRDefault="00FF662D" w:rsidP="00FF662D">
    <w:pPr>
      <w:pStyle w:val="Header"/>
      <w:rPr>
        <w:rFonts w:ascii="Book Antiqua" w:hAnsi="Book Antiqua"/>
        <w:sz w:val="20"/>
        <w:szCs w:val="20"/>
      </w:rPr>
    </w:pPr>
    <w:r w:rsidRPr="00DD5C2A">
      <w:rPr>
        <w:rFonts w:ascii="Book Antiqua" w:hAnsi="Book Antiqua"/>
        <w:sz w:val="20"/>
        <w:szCs w:val="20"/>
      </w:rPr>
      <w:t xml:space="preserve">Tersedia online di </w:t>
    </w:r>
    <w:hyperlink r:id="rId1" w:history="1">
      <w:r w:rsidRPr="00FF662D">
        <w:rPr>
          <w:rStyle w:val="Hyperlink"/>
          <w:rFonts w:ascii="Book Antiqua" w:hAnsi="Book Antiqua"/>
          <w:sz w:val="20"/>
        </w:rPr>
        <w:t>https://jurnal.unitri.ac.id/index.php/refrensi/index</w:t>
      </w:r>
    </w:hyperlink>
  </w:p>
  <w:p w14:paraId="306CF802" w14:textId="77777777" w:rsidR="00FF662D" w:rsidRPr="008723A1" w:rsidRDefault="00FF662D" w:rsidP="00FF662D">
    <w:pPr>
      <w:pStyle w:val="Header"/>
      <w:rPr>
        <w:rFonts w:ascii="Book Antiqua" w:hAnsi="Book Antiqua"/>
        <w:i/>
        <w:sz w:val="20"/>
        <w:szCs w:val="20"/>
      </w:rPr>
    </w:pPr>
    <w:r>
      <w:rPr>
        <w:rFonts w:ascii="Book Antiqua" w:hAnsi="Book Antiqua"/>
        <w:sz w:val="20"/>
        <w:szCs w:val="20"/>
      </w:rPr>
      <w:t>ISSN 2548-6152</w:t>
    </w:r>
    <w:r w:rsidRPr="008723A1">
      <w:rPr>
        <w:rFonts w:ascii="Book Antiqua" w:hAnsi="Book Antiqua"/>
        <w:i/>
        <w:sz w:val="20"/>
        <w:szCs w:val="20"/>
      </w:rPr>
      <w:t xml:space="preserve"> (online)</w:t>
    </w:r>
  </w:p>
  <w:p w14:paraId="5F732683" w14:textId="77777777" w:rsidR="00FF662D" w:rsidRPr="00B36BBA" w:rsidRDefault="00FF662D" w:rsidP="00FF662D">
    <w:pPr>
      <w:pStyle w:val="Header"/>
      <w:rPr>
        <w:rFonts w:ascii="Book Antiqua" w:hAnsi="Book Antiqua"/>
        <w:i/>
        <w:sz w:val="20"/>
        <w:szCs w:val="20"/>
      </w:rPr>
    </w:pPr>
    <w:r>
      <w:rPr>
        <w:rFonts w:ascii="Book Antiqua" w:hAnsi="Book Antiqua"/>
        <w:sz w:val="20"/>
        <w:szCs w:val="20"/>
      </w:rPr>
      <w:t>ISSN 2089-0532</w:t>
    </w:r>
    <w:r w:rsidRPr="008723A1">
      <w:rPr>
        <w:rFonts w:ascii="Book Antiqua" w:hAnsi="Book Antiqua"/>
        <w:i/>
        <w:sz w:val="20"/>
        <w:szCs w:val="20"/>
      </w:rPr>
      <w:t xml:space="preserve"> </w:t>
    </w:r>
    <w:r w:rsidRPr="008723A1">
      <w:rPr>
        <w:rFonts w:ascii="Book Antiqua" w:hAnsi="Book Antiqua"/>
        <w:sz w:val="20"/>
        <w:szCs w:val="20"/>
      </w:rPr>
      <w:t>(cetak)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10052"/>
    <w:multiLevelType w:val="hybridMultilevel"/>
    <w:tmpl w:val="45844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815AD8"/>
    <w:multiLevelType w:val="hybridMultilevel"/>
    <w:tmpl w:val="B05E7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E8653B"/>
    <w:multiLevelType w:val="hybridMultilevel"/>
    <w:tmpl w:val="ED36BA54"/>
    <w:lvl w:ilvl="0" w:tplc="DEB8CF34">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F612C75"/>
    <w:multiLevelType w:val="hybridMultilevel"/>
    <w:tmpl w:val="13784644"/>
    <w:lvl w:ilvl="0" w:tplc="006EE3FC">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C2F7582"/>
    <w:multiLevelType w:val="hybridMultilevel"/>
    <w:tmpl w:val="F6D63B9A"/>
    <w:lvl w:ilvl="0" w:tplc="6C964C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B"/>
    <w:rsid w:val="0002455D"/>
    <w:rsid w:val="00030C2E"/>
    <w:rsid w:val="000320D3"/>
    <w:rsid w:val="00046B5C"/>
    <w:rsid w:val="0007040A"/>
    <w:rsid w:val="000B5E8D"/>
    <w:rsid w:val="000C0C13"/>
    <w:rsid w:val="000F051A"/>
    <w:rsid w:val="000F4AC2"/>
    <w:rsid w:val="000F4DEB"/>
    <w:rsid w:val="001003AE"/>
    <w:rsid w:val="001265A8"/>
    <w:rsid w:val="00135106"/>
    <w:rsid w:val="00143CFB"/>
    <w:rsid w:val="00166CF8"/>
    <w:rsid w:val="00175104"/>
    <w:rsid w:val="001E2C91"/>
    <w:rsid w:val="001F0A68"/>
    <w:rsid w:val="00206E91"/>
    <w:rsid w:val="00217FB4"/>
    <w:rsid w:val="00220F4A"/>
    <w:rsid w:val="00245678"/>
    <w:rsid w:val="00283C48"/>
    <w:rsid w:val="002E59DF"/>
    <w:rsid w:val="00335346"/>
    <w:rsid w:val="00335516"/>
    <w:rsid w:val="00344E4D"/>
    <w:rsid w:val="003B69E5"/>
    <w:rsid w:val="003C3544"/>
    <w:rsid w:val="003E1C78"/>
    <w:rsid w:val="003E6642"/>
    <w:rsid w:val="003E7163"/>
    <w:rsid w:val="004176FC"/>
    <w:rsid w:val="00434F2F"/>
    <w:rsid w:val="00456325"/>
    <w:rsid w:val="00474245"/>
    <w:rsid w:val="0048477A"/>
    <w:rsid w:val="004C68FA"/>
    <w:rsid w:val="004D4823"/>
    <w:rsid w:val="005018CE"/>
    <w:rsid w:val="0052165F"/>
    <w:rsid w:val="005221FD"/>
    <w:rsid w:val="00536443"/>
    <w:rsid w:val="00551383"/>
    <w:rsid w:val="00595E9E"/>
    <w:rsid w:val="005B4B19"/>
    <w:rsid w:val="005C3E2E"/>
    <w:rsid w:val="00612CA5"/>
    <w:rsid w:val="0062002D"/>
    <w:rsid w:val="00653A67"/>
    <w:rsid w:val="00671D5D"/>
    <w:rsid w:val="0069743F"/>
    <w:rsid w:val="006A2907"/>
    <w:rsid w:val="006B7CB5"/>
    <w:rsid w:val="006C28B3"/>
    <w:rsid w:val="006C6650"/>
    <w:rsid w:val="006D6E83"/>
    <w:rsid w:val="006E555D"/>
    <w:rsid w:val="006E7C15"/>
    <w:rsid w:val="006F0B8B"/>
    <w:rsid w:val="006F65A5"/>
    <w:rsid w:val="00764B63"/>
    <w:rsid w:val="00784BA5"/>
    <w:rsid w:val="007B08E4"/>
    <w:rsid w:val="007B12F1"/>
    <w:rsid w:val="007B4B44"/>
    <w:rsid w:val="007E6381"/>
    <w:rsid w:val="00807D8F"/>
    <w:rsid w:val="00832226"/>
    <w:rsid w:val="00845B5F"/>
    <w:rsid w:val="00863757"/>
    <w:rsid w:val="0087572E"/>
    <w:rsid w:val="008C0FEB"/>
    <w:rsid w:val="008F0C26"/>
    <w:rsid w:val="008F5A9F"/>
    <w:rsid w:val="00946698"/>
    <w:rsid w:val="00963E67"/>
    <w:rsid w:val="009B33EB"/>
    <w:rsid w:val="009C4CE5"/>
    <w:rsid w:val="009E5B08"/>
    <w:rsid w:val="00A03EBD"/>
    <w:rsid w:val="00A1201A"/>
    <w:rsid w:val="00A52618"/>
    <w:rsid w:val="00A76E61"/>
    <w:rsid w:val="00AB0986"/>
    <w:rsid w:val="00AB1007"/>
    <w:rsid w:val="00AD1852"/>
    <w:rsid w:val="00AD3F95"/>
    <w:rsid w:val="00AD7FCF"/>
    <w:rsid w:val="00B10A75"/>
    <w:rsid w:val="00B53F2E"/>
    <w:rsid w:val="00B72DCC"/>
    <w:rsid w:val="00B86644"/>
    <w:rsid w:val="00BB0134"/>
    <w:rsid w:val="00BC78AF"/>
    <w:rsid w:val="00BD76E0"/>
    <w:rsid w:val="00BF0E7D"/>
    <w:rsid w:val="00BF4BFC"/>
    <w:rsid w:val="00C07C0F"/>
    <w:rsid w:val="00C13ED8"/>
    <w:rsid w:val="00C7435E"/>
    <w:rsid w:val="00C911FC"/>
    <w:rsid w:val="00C9750B"/>
    <w:rsid w:val="00CB0140"/>
    <w:rsid w:val="00CC1CBB"/>
    <w:rsid w:val="00D41FA9"/>
    <w:rsid w:val="00D913F9"/>
    <w:rsid w:val="00DB486B"/>
    <w:rsid w:val="00DC7973"/>
    <w:rsid w:val="00DD0B0A"/>
    <w:rsid w:val="00E46FC5"/>
    <w:rsid w:val="00E97E81"/>
    <w:rsid w:val="00EB1271"/>
    <w:rsid w:val="00F03B40"/>
    <w:rsid w:val="00F103CF"/>
    <w:rsid w:val="00F14BED"/>
    <w:rsid w:val="00F2216C"/>
    <w:rsid w:val="00F24FA1"/>
    <w:rsid w:val="00F472E4"/>
    <w:rsid w:val="00F66C97"/>
    <w:rsid w:val="00FC155A"/>
    <w:rsid w:val="00FD2274"/>
    <w:rsid w:val="00FF620A"/>
    <w:rsid w:val="00FF6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2526"/>
  <w15:docId w15:val="{B380F1CA-8CFA-491A-9FFC-8ABD7180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CBB"/>
    <w:pPr>
      <w:spacing w:after="0" w:line="240" w:lineRule="auto"/>
    </w:pPr>
    <w:rPr>
      <w:rFonts w:eastAsiaTheme="minorEastAsia"/>
    </w:rPr>
  </w:style>
  <w:style w:type="table" w:styleId="TableGrid">
    <w:name w:val="Table Grid"/>
    <w:basedOn w:val="TableNormal"/>
    <w:uiPriority w:val="59"/>
    <w:rsid w:val="00CC1C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C1CBB"/>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C1CBB"/>
    <w:rPr>
      <w:sz w:val="16"/>
      <w:szCs w:val="16"/>
    </w:rPr>
  </w:style>
  <w:style w:type="paragraph" w:styleId="CommentText">
    <w:name w:val="annotation text"/>
    <w:basedOn w:val="Normal"/>
    <w:link w:val="CommentTextChar"/>
    <w:uiPriority w:val="99"/>
    <w:semiHidden/>
    <w:unhideWhenUsed/>
    <w:rsid w:val="00CC1CBB"/>
    <w:pPr>
      <w:spacing w:line="240" w:lineRule="auto"/>
    </w:pPr>
    <w:rPr>
      <w:sz w:val="20"/>
      <w:szCs w:val="20"/>
    </w:rPr>
  </w:style>
  <w:style w:type="character" w:customStyle="1" w:styleId="CommentTextChar">
    <w:name w:val="Comment Text Char"/>
    <w:basedOn w:val="DefaultParagraphFont"/>
    <w:link w:val="CommentText"/>
    <w:uiPriority w:val="99"/>
    <w:semiHidden/>
    <w:rsid w:val="00CC1CBB"/>
    <w:rPr>
      <w:rFonts w:eastAsiaTheme="minorEastAsia"/>
      <w:sz w:val="20"/>
      <w:szCs w:val="20"/>
    </w:rPr>
  </w:style>
  <w:style w:type="paragraph" w:styleId="BalloonText">
    <w:name w:val="Balloon Text"/>
    <w:basedOn w:val="Normal"/>
    <w:link w:val="BalloonTextChar"/>
    <w:uiPriority w:val="99"/>
    <w:semiHidden/>
    <w:unhideWhenUsed/>
    <w:rsid w:val="00CC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B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B0134"/>
    <w:rPr>
      <w:b/>
      <w:bCs/>
    </w:rPr>
  </w:style>
  <w:style w:type="character" w:customStyle="1" w:styleId="CommentSubjectChar">
    <w:name w:val="Comment Subject Char"/>
    <w:basedOn w:val="CommentTextChar"/>
    <w:link w:val="CommentSubject"/>
    <w:uiPriority w:val="99"/>
    <w:semiHidden/>
    <w:rsid w:val="00BB0134"/>
    <w:rPr>
      <w:rFonts w:eastAsiaTheme="minorEastAsia"/>
      <w:b/>
      <w:bCs/>
      <w:sz w:val="20"/>
      <w:szCs w:val="20"/>
    </w:rPr>
  </w:style>
  <w:style w:type="paragraph" w:styleId="Header">
    <w:name w:val="header"/>
    <w:basedOn w:val="Normal"/>
    <w:link w:val="HeaderChar"/>
    <w:uiPriority w:val="99"/>
    <w:unhideWhenUsed/>
    <w:rsid w:val="004D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23"/>
    <w:rPr>
      <w:rFonts w:eastAsiaTheme="minorEastAsia"/>
    </w:rPr>
  </w:style>
  <w:style w:type="paragraph" w:styleId="Footer">
    <w:name w:val="footer"/>
    <w:basedOn w:val="Normal"/>
    <w:link w:val="FooterChar"/>
    <w:uiPriority w:val="99"/>
    <w:unhideWhenUsed/>
    <w:rsid w:val="004D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23"/>
    <w:rPr>
      <w:rFonts w:eastAsiaTheme="minorEastAsia"/>
    </w:rPr>
  </w:style>
  <w:style w:type="character" w:styleId="Hyperlink">
    <w:name w:val="Hyperlink"/>
    <w:basedOn w:val="DefaultParagraphFont"/>
    <w:uiPriority w:val="99"/>
    <w:unhideWhenUsed/>
    <w:rsid w:val="00612CA5"/>
    <w:rPr>
      <w:color w:val="0563C1" w:themeColor="hyperlink"/>
      <w:u w:val="single"/>
    </w:rPr>
  </w:style>
  <w:style w:type="character" w:customStyle="1" w:styleId="UnresolvedMention">
    <w:name w:val="Unresolved Mention"/>
    <w:basedOn w:val="DefaultParagraphFont"/>
    <w:uiPriority w:val="99"/>
    <w:semiHidden/>
    <w:unhideWhenUsed/>
    <w:rsid w:val="0061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19260">
      <w:bodyDiv w:val="1"/>
      <w:marLeft w:val="0"/>
      <w:marRight w:val="0"/>
      <w:marTop w:val="0"/>
      <w:marBottom w:val="0"/>
      <w:divBdr>
        <w:top w:val="none" w:sz="0" w:space="0" w:color="auto"/>
        <w:left w:val="none" w:sz="0" w:space="0" w:color="auto"/>
        <w:bottom w:val="none" w:sz="0" w:space="0" w:color="auto"/>
        <w:right w:val="none" w:sz="0" w:space="0" w:color="auto"/>
      </w:divBdr>
    </w:div>
    <w:div w:id="1132551351">
      <w:bodyDiv w:val="1"/>
      <w:marLeft w:val="0"/>
      <w:marRight w:val="0"/>
      <w:marTop w:val="0"/>
      <w:marBottom w:val="0"/>
      <w:divBdr>
        <w:top w:val="none" w:sz="0" w:space="0" w:color="auto"/>
        <w:left w:val="none" w:sz="0" w:space="0" w:color="auto"/>
        <w:bottom w:val="none" w:sz="0" w:space="0" w:color="auto"/>
        <w:right w:val="none" w:sz="0" w:space="0" w:color="auto"/>
      </w:divBdr>
    </w:div>
    <w:div w:id="1408571158">
      <w:bodyDiv w:val="1"/>
      <w:marLeft w:val="0"/>
      <w:marRight w:val="0"/>
      <w:marTop w:val="0"/>
      <w:marBottom w:val="0"/>
      <w:divBdr>
        <w:top w:val="none" w:sz="0" w:space="0" w:color="auto"/>
        <w:left w:val="none" w:sz="0" w:space="0" w:color="auto"/>
        <w:bottom w:val="none" w:sz="0" w:space="0" w:color="auto"/>
        <w:right w:val="none" w:sz="0" w:space="0" w:color="auto"/>
      </w:divBdr>
    </w:div>
    <w:div w:id="1497498510">
      <w:bodyDiv w:val="1"/>
      <w:marLeft w:val="0"/>
      <w:marRight w:val="0"/>
      <w:marTop w:val="0"/>
      <w:marBottom w:val="0"/>
      <w:divBdr>
        <w:top w:val="none" w:sz="0" w:space="0" w:color="auto"/>
        <w:left w:val="none" w:sz="0" w:space="0" w:color="auto"/>
        <w:bottom w:val="none" w:sz="0" w:space="0" w:color="auto"/>
        <w:right w:val="none" w:sz="0" w:space="0" w:color="auto"/>
      </w:divBdr>
    </w:div>
    <w:div w:id="20683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jurnal.unitri.ac.id/index.php/refrensi/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7730-9447-4042-A9F3-474607E1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2021-12-02T03:50:00Z</dcterms:created>
  <dcterms:modified xsi:type="dcterms:W3CDTF">2021-12-02T03:50:00Z</dcterms:modified>
</cp:coreProperties>
</file>